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6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50"/>
        <w:gridCol w:w="3798"/>
        <w:gridCol w:w="1050"/>
        <w:gridCol w:w="27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7" w:hRule="atLeast"/>
        </w:trPr>
        <w:tc>
          <w:tcPr>
            <w:tcW w:w="399" w:type="pct"/>
            <w:tcBorders>
              <w:top w:val="nil"/>
              <w:left w:val="nil"/>
              <w:bottom w:val="nil"/>
              <w:right w:val="nil"/>
            </w:tcBorders>
            <w:shd w:val="clear"/>
            <w:vAlign w:val="center"/>
          </w:tcPr>
          <w:p>
            <w:pPr>
              <w:jc w:val="center"/>
              <w:rPr>
                <w:rFonts w:hint="eastAsia" w:ascii="宋体"/>
                <w:b/>
                <w:sz w:val="24"/>
                <w:szCs w:val="24"/>
              </w:rPr>
            </w:pPr>
          </w:p>
        </w:tc>
        <w:tc>
          <w:tcPr>
            <w:tcW w:w="2400" w:type="pct"/>
            <w:tcBorders>
              <w:top w:val="nil"/>
              <w:left w:val="nil"/>
              <w:bottom w:val="nil"/>
              <w:right w:val="nil"/>
            </w:tcBorders>
            <w:shd w:val="clear"/>
            <w:vAlign w:val="center"/>
          </w:tcPr>
          <w:p>
            <w:pPr>
              <w:jc w:val="center"/>
              <w:rPr>
                <w:rFonts w:hint="eastAsia" w:ascii="宋体"/>
                <w:b/>
                <w:sz w:val="24"/>
                <w:szCs w:val="24"/>
              </w:rPr>
            </w:pPr>
          </w:p>
        </w:tc>
        <w:tc>
          <w:tcPr>
            <w:tcW w:w="399" w:type="pct"/>
            <w:tcBorders>
              <w:top w:val="nil"/>
              <w:left w:val="nil"/>
              <w:bottom w:val="nil"/>
              <w:right w:val="nil"/>
            </w:tcBorders>
            <w:shd w:val="clear"/>
            <w:vAlign w:val="center"/>
          </w:tcPr>
          <w:p>
            <w:pPr>
              <w:jc w:val="center"/>
              <w:rPr>
                <w:rFonts w:hint="eastAsia" w:ascii="宋体"/>
                <w:b/>
                <w:sz w:val="24"/>
                <w:szCs w:val="24"/>
              </w:rPr>
            </w:pPr>
          </w:p>
        </w:tc>
        <w:tc>
          <w:tcPr>
            <w:tcW w:w="1800" w:type="pct"/>
            <w:tcBorders>
              <w:top w:val="nil"/>
              <w:left w:val="nil"/>
              <w:bottom w:val="nil"/>
              <w:right w:val="nil"/>
            </w:tcBorders>
            <w:shd w:val="clear"/>
            <w:vAlign w:val="center"/>
          </w:tcPr>
          <w:p>
            <w:pPr>
              <w:jc w:val="center"/>
              <w:rPr>
                <w:rFonts w:hint="eastAsia" w:ascii="宋体"/>
                <w:b/>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7" w:hRule="atLeast"/>
        </w:trPr>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标  题：</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教育部等八部门关于加快构建高校思想政治工作体系的意见</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发文机关：</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教育部 中共中央组织部 中共中央宣传部 中共中央政法委员会 中央网络安全和信息化委员会办公室 财政部 人力资源社会保障部 共青团中央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2" w:hRule="atLeast"/>
        </w:trPr>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发文字号：</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教思政〔2020〕1号</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来  源：</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教育部网站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2" w:hRule="atLeast"/>
        </w:trPr>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主题分类：</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科技、教育\教育</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公文种类：</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2" w:hRule="atLeast"/>
        </w:trPr>
        <w:tc>
          <w:tcPr>
            <w:tcW w:w="0" w:type="auto"/>
            <w:tcBorders>
              <w:top w:val="nil"/>
              <w:left w:val="nil"/>
              <w:bottom w:val="nil"/>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成文日期：</w:t>
            </w:r>
          </w:p>
        </w:tc>
        <w:tc>
          <w:tcPr>
            <w:tcW w:w="0" w:type="auto"/>
            <w:tcBorders>
              <w:top w:val="nil"/>
              <w:left w:val="nil"/>
              <w:bottom w:val="nil"/>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2020年04月22日</w:t>
            </w:r>
          </w:p>
        </w:tc>
        <w:tc>
          <w:tcPr>
            <w:tcW w:w="0" w:type="auto"/>
            <w:tcBorders>
              <w:top w:val="nil"/>
              <w:left w:val="nil"/>
              <w:bottom w:val="nil"/>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发布日期：</w:t>
            </w:r>
          </w:p>
        </w:tc>
        <w:tc>
          <w:tcPr>
            <w:tcW w:w="0" w:type="auto"/>
            <w:tcBorders>
              <w:top w:val="nil"/>
              <w:left w:val="nil"/>
              <w:bottom w:val="nil"/>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2020年</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0" w:afterAutospacing="0"/>
        <w:ind w:left="0" w:right="0" w:firstLine="0"/>
        <w:jc w:val="right"/>
        <w:rPr>
          <w:rFonts w:hint="eastAsia" w:ascii="宋体" w:hAnsi="宋体" w:eastAsia="宋体" w:cs="宋体"/>
          <w:i w:val="0"/>
          <w:caps w:val="0"/>
          <w:color w:val="666666"/>
          <w:spacing w:val="0"/>
          <w:sz w:val="27"/>
          <w:szCs w:val="27"/>
        </w:rPr>
      </w:pP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【字体：</w:t>
      </w:r>
      <w:r>
        <w:rPr>
          <w:rFonts w:hint="eastAsia" w:ascii="宋体" w:hAnsi="宋体" w:eastAsia="宋体" w:cs="宋体"/>
          <w:i w:val="0"/>
          <w:caps w:val="0"/>
          <w:color w:val="666666"/>
          <w:spacing w:val="0"/>
          <w:kern w:val="0"/>
          <w:sz w:val="24"/>
          <w:szCs w:val="24"/>
          <w:bdr w:val="none" w:color="auto" w:sz="0" w:space="0"/>
          <w:shd w:val="clear" w:fill="FFFFFF"/>
          <w:lang w:val="en-US" w:eastAsia="zh-CN" w:bidi="ar"/>
        </w:rPr>
        <w:t>大</w:t>
      </w: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 </w:t>
      </w:r>
      <w:r>
        <w:rPr>
          <w:rFonts w:hint="eastAsia" w:ascii="宋体" w:hAnsi="宋体" w:eastAsia="宋体" w:cs="宋体"/>
          <w:i w:val="0"/>
          <w:caps w:val="0"/>
          <w:color w:val="FF0000"/>
          <w:spacing w:val="0"/>
          <w:kern w:val="0"/>
          <w:sz w:val="21"/>
          <w:szCs w:val="21"/>
          <w:bdr w:val="none" w:color="auto" w:sz="0" w:space="0"/>
          <w:shd w:val="clear" w:fill="FFFFFF"/>
          <w:lang w:val="en-US" w:eastAsia="zh-CN" w:bidi="ar"/>
        </w:rPr>
        <w:t>中</w:t>
      </w: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 </w:t>
      </w:r>
      <w:r>
        <w:rPr>
          <w:rFonts w:hint="eastAsia" w:ascii="宋体" w:hAnsi="宋体" w:eastAsia="宋体" w:cs="宋体"/>
          <w:i w:val="0"/>
          <w:caps w:val="0"/>
          <w:color w:val="666666"/>
          <w:spacing w:val="0"/>
          <w:kern w:val="0"/>
          <w:sz w:val="19"/>
          <w:szCs w:val="19"/>
          <w:bdr w:val="none" w:color="auto" w:sz="0" w:space="0"/>
          <w:shd w:val="clear" w:fill="FFFFFF"/>
          <w:lang w:val="en-US" w:eastAsia="zh-CN" w:bidi="ar"/>
        </w:rPr>
        <w:t>小</w:t>
      </w: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center"/>
        <w:rPr>
          <w:sz w:val="24"/>
          <w:szCs w:val="24"/>
        </w:rPr>
      </w:pPr>
      <w:bookmarkStart w:id="0" w:name="_GoBack"/>
      <w:r>
        <w:rPr>
          <w:rFonts w:hint="eastAsia" w:ascii="宋体" w:hAnsi="宋体" w:eastAsia="宋体" w:cs="宋体"/>
          <w:b/>
          <w:i w:val="0"/>
          <w:caps w:val="0"/>
          <w:color w:val="333333"/>
          <w:spacing w:val="0"/>
          <w:sz w:val="36"/>
          <w:szCs w:val="36"/>
          <w:bdr w:val="none" w:color="auto" w:sz="0" w:space="0"/>
          <w:shd w:val="clear" w:fill="FFFFFF"/>
        </w:rPr>
        <w:t>教育部等八部门关于加快构建高校思想政治工作体系的意见</w:t>
      </w:r>
      <w:r>
        <w:rPr>
          <w:rFonts w:hint="eastAsia" w:ascii="宋体" w:hAnsi="宋体" w:eastAsia="宋体" w:cs="宋体"/>
          <w:i w:val="0"/>
          <w:caps w:val="0"/>
          <w:color w:val="333333"/>
          <w:spacing w:val="0"/>
          <w:sz w:val="24"/>
          <w:szCs w:val="24"/>
          <w:bdr w:val="none" w:color="auto" w:sz="0" w:space="0"/>
          <w:shd w:val="clear" w:fill="FFFFFF"/>
        </w:rPr>
        <w:br w:type="textWrapping"/>
      </w:r>
      <w:bookmarkEnd w:id="0"/>
      <w:r>
        <w:rPr>
          <w:rFonts w:ascii="楷体" w:hAnsi="楷体" w:eastAsia="楷体" w:cs="楷体"/>
          <w:i w:val="0"/>
          <w:caps w:val="0"/>
          <w:color w:val="333333"/>
          <w:spacing w:val="0"/>
          <w:sz w:val="24"/>
          <w:szCs w:val="24"/>
          <w:bdr w:val="none" w:color="auto" w:sz="0" w:space="0"/>
          <w:shd w:val="clear" w:fill="FFFFFF"/>
        </w:rPr>
        <w:t>教思政〔2020〕1号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教育厅（教委）、党委组织部、党委宣传部、党委政法委、网信办、财政厅（局）、人力资源社会保障厅（局）、团委，新疆生产建设兵团教育局、党委组织部、党委宣传部、党委政法委、网信办、财政局、人力资源社会保障局、团委，部属各高等学校、部省合建各高等学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为深入贯彻落实习近平新时代中国特色社会主义思想，贯彻落实党的十九大和十九届二中、三中、四中全会精神，学习贯彻习近平总书记关于教育的重要论述，加快构建高校思想政治工作体系，努力培养担当民族复兴大任的时代新人，培养德智体美劳全面发展的社会主义建设者和接班人，现提出如下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一、指导思想和目标任务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指导思想。以习近平新时代中国特色社会主义思想为指导，全面贯彻党的教育方针，坚持和加强党的全面领导，坚持社会主义办学方向，以立德树人为根本，以理想信念教育为核心，以培育和践行社会主义核心价值观为主线，以建立完善全员、全程、全方位育人体制机制为关键，全面提升高校思想政治工作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目标任务。健全立德树人体制机制，把立德树人融入思想道德、文化知识、社会实践教育各环节，贯通学科体系、教学体系、教材体系、管理体系，加快构建目标明确、内容完善、标准健全、运行科学、保障有力、成效显著的高校思想政治工作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二、理论武装体系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加强政治引领。把坚持以马克思主义为指导落实到教育教学各方面，对各种错误观点和思潮旗帜鲜明予以抵制。全面推动习近平新时代中国特色社会主义思想进教材、进课堂、进师生头脑，开展理论教育培训，编写出版理论读物，打造示范课堂，运用各种载体分群体深入开展习近平新时代中国特色社会主义思想学习研究宣传工作。推动理想信念教育常态化、制度化，加强党史、新中国史、改革开放史、社会主义发展史教育，加强爱国主义、集体主义、社会主义教育，把制度自信的种子播撒进青少年心灵，引导师生不断增强“四个自信”。推动领导干部、“两院”院士等专家学者、各方面英雄模范人物进校园开展思想政治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4.厚植爱国情怀。贯彻落实《新时代爱国主义教育实施纲要》，打造推广一批富有爱国主义教育意义的文化作品，定期举行集体升国旗、唱国歌仪式，有效利用重大活动、开学典礼、毕业典礼、重大纪念日、主题党团日等契机和重点文化基础设施开展爱国主义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5.强化价值引导。研究制定体现社会主义核心价值观要求的师生行为规范，组织国家勋章和国家荣誉称号获得者、最美奋斗者、改革先锋、时代楷模等新时代先进人物走进高校，面向广大师生开展思想政治教育。开展教书育人楷模、思政课教师年度人物、高校辅导员年度人物、大学生年度人物等先进典型的宣传选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三、学科教学体系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6.办好思想政治理论课。按照“八个相统一”要求，扎实推进思想政治理论课建设思路创优、师资创优、教材创优、教法创优、机制创优、环境创优。遴选名师大师参与思想政治理论课讲授。把新媒体新技术引入高校思想政治理论课教学，打造高校思想政治理论课资源平台和网络集体备课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7.强化哲学社会科学育人作用。强化马克思主义理论学科引领作用，推出一批中国特色哲学社会科学精品力作。加强哲学社会科学教材规划编审和规范选用工作。加大哲学社会科学各学科专业中的马克思主义理论类课程建设。扎实推进哲学社会科学专业课程思政建设，文学、历史学、哲学类专业课程要帮助学生掌握马克思主义世界观和方法论，从历史与现实、理论与实践等相结合的维度深刻理解习近平新时代中国特色社会主义思想。经济学、管理学、法学类专业课程要培育学生经世济民、诚信服务、德法兼修的职业素养。教育学类专业课程要注重加强师德师风教育，引导学生树立学为人师、行为世范的职业理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8.全面推进所有学科课程思政建设。统筹课程思政与思政课程建设，构建全面覆盖、类型丰富、层次递进、相互支撑的课程体系。重点建设一批提高大学生思想道德修养、人文素质、科学精神和认知能力的公共基础课程。理学、工学类专业课程要注重科学思维方法的训练和科技伦理的教育，培养学生探索未知、追求真理、勇攀科学高峰的责任感和使命感，培养学生精益求精的大国工匠精神。农学类专业课程要注重培养学生的大国“三农”情怀，引导学生“懂农业、爱农村、爱农民”。医学类专业课程要注重加强医德医风教育，注重加强医者仁心教育，教育引导学生尊重患者，学会沟通，提升综合素养。艺术学类专业课程要教育引导学生树立正确的艺术观和创作观，积极弘扬中华美育精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9.充分发挥科研育人功能。构建集教育、预防、监督、惩治于一体的学术诚信体系。提高研究生导师开展思想政治教育意识和能力。持续开展全国科学道德和学风建设宣讲教育、“共和国的脊梁——科学大师名校宣传工程”等系列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四、日常教育体系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10.深化实践教育。把思想政治教育融入社会实践、志愿服务、实习实训等活动中，创办形式多样的“行走课堂”。健全志愿服务体系，深入开展“青年红色筑梦之旅”“‘小我融入大我，青春献给祖国’主题社会实践”等活动。推动构建政府、社会、学校协同联动的“实践育人共同体”，挖掘和编制“资源图谱”，加强劳动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11.繁荣校园文化。坚持培育优良校风教风学风，持续开展文明校园创建活动。建设一批文化传承基地。发挥校园建筑景观、文物和校史校训校歌的文化价值。加强高校原创文化精品创作与推广。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12.加强网络育人。提升校园新媒体网络平台的服务力、吸引力和粘合度，切实增强易班网、中国大学生在线等网络阵地的示范性、引领性和辐射度，重点建设一批高校思政类公众号，发挥新媒体平台对高校思政工作的促进作用。引导和扶持师生积极创作导向正确、内容生动、形式多样的网络文化产品。建设高校网络文化研究评价中心，推动将优秀网络文化成果纳入科研成果评价统计。各高校应按照在校生总数每生每年不低于30元的标准设立网络思政工作专项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13.促进心理健康。把心理健康教育课程纳入整体教学计划，按师生比不低于1:4000比例配备专业教师，每校至少配备2名。发挥心理健康教育教师、辅导员、班主任等育人主体的作用，规范发展心理健康教育与咨询服务。强化心理问题早期发现和科学干预，推广应用《中国大学生心理健康筛查量表》和“心理健康网络测评系统”，提升预警预防、咨询服务、干预转介工作的科学性、前瞻性和针对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五、管理服务体系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14.提高管理服务水平。健全管理服务育人制度体系，宣传推广一批管理服务育人的先进经验和典型做法，大力营造治理有方、管理到位、风清气正的制度育人环境。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15.加强群团组织建设。增强工会、共青团、妇联等群团组织的政治性、先进性、群众性。推动学生会（研究生会）改革，强化党的领导，健全骨干遴选程序。加强学生社团建设管理，着力构建党委统一领导、团委具体管理的工作机制，配齐配强指导教师，突出分类指导，支持有序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16.推动“一站式”学生社区建设。依托书院、宿舍等学生生活园区，探索学生组织形式、管理模式、服务机制改革，推进党团组织、管理部门、服务单位等进驻园区开展工作，把校院领导力量、管理力量、服务力量、思政力量压到教育管理服务学生一线，将园区打造成为集学生思想教育、师生交流、文化活动、生活服务于一体的教育生活园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17.完善精准资助育人。精准认定家庭经济困难学生，健全四级资助认定工作机制，完善档案、动态管理。建设发展型资助体系，加大家庭经济困难学生能力素养培育力度。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六、安全稳定体系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18.强化高校政治安全。认真落实意识形态工作责任制，加强高校思想文化阵地管理，严格实行审批制度。坚决抵御境外利用宗教渗透，防范校园传教活动。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19.加强国家安全教育。持续推动国家安全教育进学校、进教材、进头脑，把集中教育活动与日常教育活动、课堂教育教学与社会实践相结合。建立健全国家安全教育长效机制，不断充实教育内容，完善教学体系。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20.筑牢校园安全防线。切实保护学生生命安全、财产安全、身体健康，严格落实安全防范工作规范要求，强化安全基础建设，完善校园及周边治安综合治理机制。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21.健全安全责任体系。落实高校安全管理主体责任，完善相应协调和会商机制，落实“一岗双责”。完善预警预防、综合研判、应急处置、督查报告、责任追究等工作制度。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七、队伍建设体系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22.建设高水平教师队伍。按照“四有”好老师要求，落实政治理论学习、培训轮训、实践锻炼等制度。完善教师评聘考核办法，把师德师风作为评价教师队伍素质第一标准。实施课程思政教师专题培训计划。充分发挥院士、国家“万人计划”哲学社会科学领军人才、文化名家暨“四个一批人才”、“长江学者”、“杰青”、国家级教学名师等示范带头作用。构建全校齐抓教师思想政治素质的工作体系，组织开展宣传师德典型、深化学术诚信教育，加强对海外归国和青年教师的思想引导。落实《新时代高校教师职业行为十项准则》，严格实行师德“一票否决制”，加大对失德教师的惩戒力度，推动师德建设常态化长效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23.打造高素质思想政治工作和党务工作队伍。严格落实中央关于高校思想政治工作和党务工作队伍配备的各项指标性要求。完善高校专职辅导员职业发展体系，建立职级、职称“双线”晋升办法，学校应当结合实际情况为专职辅导员专设一定比例的正高级专业技术岗位。参照校内管理岗位比例，依据国家有关规定，建立完善高校专职辅导员管理岗位（职员等级）晋升制度。对长期从事辅导员工作、表现优秀的，按照国家有关规定给予奖励。各高校要切实履行辅导员选聘工作的主体责任，按照专兼结合、以专为主的原则加强辅导员选配工作。各地有关部门要积极支持并督导各高校严格落实专职辅导员人事管理政策，按规定签订聘用合同，不得用劳务派遣、人事代理等方式聘用辅导员。鼓励选聘各级党政机关、科研院所、军队、企事业单位党员领导干部、专家学者等担任校外辅导员。完善兼职辅导员和校外辅导员培训、管理、考核制度。持续提升思想政治工作和党务工作队伍素质能力和专业水平，实施思想政治工作中青年骨干队伍建设项目，组织开展国家示范培训、海内外访学研修、在职攻读硕士博士学位等专项计划。各地要因地制宜设置思政课教师和辅导员岗位津贴，纳入绩效工资管理，相应核增学校绩效工资总量。各高校应按照在校生总数每生每年不低于20元的标准设立思想政治工作和党务工作队伍建设专项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24.加大马克思主义学者和青年马克思主义者培养力度。加强马克思主义学院和马克思主义理论学科建设，加快培养一批立场坚定、功底扎实、经验丰富的马克思主义学者，特别是培养一大批青年马克思主义者。深入实施“高校思想政治理论课教师队伍后备人才培养专项支持计划”。组织实施青年马克思主义者培养工程，加强集中教育培训和后续跟踪培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八、评估督导体系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25.构建科学测评体系。建立多元多层、科学有效的高校思政工作测评指标体系，完善过程评价和结果评价相结合的实施机制，推动把高校党建和思想政治工作作为“双一流”建设成效评估、学科专业质量评价、人才项目评审、教学科研成果评比的重要指标，并纳入政治巡视、地方和高校领导班子考核、领导干部述职评议的重要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26.完善推进落实机制。明确责任分工，细化实施方案，及时研究解决重点问题。将高校思想政治工作纳入整体发展规划和年度工作计划，明确路线图、时间表、责任人。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27.健全督导问责机制。强化高校思想政治工作督导考核，对履职尽责不力、不及时的，加大追责力度。实行校、院系、基层党组织书记抓党建和思想政治工作述职评议考核制度，纳入党纪监督检查范围。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九、组织领导和实施保障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28.加强党的全面领导。要把高校思想政治工作摆到重要位置，切实加强组织领导和工作指导。各高校党委要全面统筹各领域、各环节、各方面的资源和力量，力戒形式主义、官僚主义，加强体制机制、项目布局、队伍建设、条件保障等方面的系统设计，定期分析高校思想政治领域情况，研究解决重大问题，协调推进重点任务落实，党委主要负责同志落实领导责任，分管领导落实直接责任。党委书记是思想政治工作第一责任人，校长和其他班子成员履行“党政同责、一岗双责”。高校领导班子成员要主动进课堂、进班级、进宿舍、进食堂、进社团、进讲座、进网络，深入一线联系学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29.加强基层党的建设。强化院系党组织政治功能，加强班子建设、健全集体领导机制、提高议事决策水平。发挥党支部战斗堡垒和党员先锋模范作用，优化支部设置，实施教师党支部书记“双带头人”培育工程，建强党支部书记队伍。严格党的组织生活各项制度，着重加强教师党支部和学生党支部建设、发展党员和党员教育管理工作。加强教师党支部与学生党支部共建，鼓励校企、校地党支部共同开展组织生活。落实党建带团建制度，做好推优入党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30.强化工作协同保障。推动形成学校、家庭和社会教育协同育人机制。发挥高校思想政治工作委员会的专家咨询作用，加大高校思想政治工作创新发展中心、思想政治工作队伍培训研修中心、省级高校网络思想政治工作中心建设力度。做好高校思想政治工作专项资金使用管理，引导地方和高校增加投入，强化经费投入的育人导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jc w:val="righ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教育部 中共中央组织部 中共中央宣传部</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中共中央政法委员会 中央网络安全和信息化委员会办公室</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财政部 人力资源社会保障部 共青团中央</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2020年4月22日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72A56"/>
    <w:rsid w:val="4BA72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2021-01-07T08:32:00Z</dcterms:created>
  <dc:creator>骑着小猪逛大街</dc:creator>
  <cp:lastModifiedBy>骑着小猪逛大街</cp:lastModifiedBy>
  <cp:lastPrinted>2021-01-07T08:33:50Z</cp:lastPrinted>
  <dcterms:modified xsi:type="dcterms:W3CDTF">2021-01-07T08:34:50Z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