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page" w:horzAnchor="page" w:tblpX="2008" w:tblpY="2268"/>
        <w:tblOverlap w:val="never"/>
        <w:tblW w:w="488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217"/>
        <w:gridCol w:w="3328"/>
        <w:gridCol w:w="1218"/>
        <w:gridCol w:w="2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4" w:hRule="atLeast"/>
        </w:trPr>
        <w:tc>
          <w:tcPr>
            <w:tcW w:w="750" w:type="pct"/>
            <w:tcBorders>
              <w:top w:val="nil"/>
              <w:left w:val="nil"/>
              <w:bottom w:val="nil"/>
              <w:right w:val="nil"/>
            </w:tcBorders>
            <w:shd w:val="clear" w:color="auto" w:fill="auto"/>
            <w:vAlign w:val="center"/>
          </w:tcPr>
          <w:p>
            <w:pPr>
              <w:jc w:val="center"/>
              <w:rPr>
                <w:rFonts w:hint="eastAsia" w:ascii="宋体"/>
                <w:b/>
                <w:sz w:val="24"/>
                <w:szCs w:val="24"/>
              </w:rPr>
            </w:pPr>
          </w:p>
        </w:tc>
        <w:tc>
          <w:tcPr>
            <w:tcW w:w="2049" w:type="pct"/>
            <w:tcBorders>
              <w:top w:val="nil"/>
              <w:left w:val="nil"/>
              <w:bottom w:val="nil"/>
              <w:right w:val="nil"/>
            </w:tcBorders>
            <w:shd w:val="clear" w:color="auto" w:fill="auto"/>
            <w:vAlign w:val="center"/>
          </w:tcPr>
          <w:p>
            <w:pPr>
              <w:jc w:val="center"/>
              <w:rPr>
                <w:rFonts w:hint="eastAsia" w:ascii="宋体"/>
                <w:b/>
                <w:sz w:val="24"/>
                <w:szCs w:val="24"/>
              </w:rPr>
            </w:pPr>
          </w:p>
        </w:tc>
        <w:tc>
          <w:tcPr>
            <w:tcW w:w="750" w:type="pct"/>
            <w:tcBorders>
              <w:top w:val="nil"/>
              <w:left w:val="nil"/>
              <w:bottom w:val="nil"/>
              <w:right w:val="nil"/>
            </w:tcBorders>
            <w:shd w:val="clear" w:color="auto" w:fill="auto"/>
            <w:vAlign w:val="center"/>
          </w:tcPr>
          <w:p>
            <w:pPr>
              <w:jc w:val="center"/>
              <w:rPr>
                <w:rFonts w:hint="eastAsia" w:ascii="宋体"/>
                <w:b/>
                <w:sz w:val="24"/>
                <w:szCs w:val="24"/>
              </w:rPr>
            </w:pPr>
          </w:p>
        </w:tc>
        <w:tc>
          <w:tcPr>
            <w:tcW w:w="1450" w:type="pct"/>
            <w:tcBorders>
              <w:top w:val="nil"/>
              <w:left w:val="nil"/>
              <w:bottom w:val="nil"/>
              <w:right w:val="nil"/>
            </w:tcBorders>
            <w:shd w:val="clear" w:color="auto" w:fill="auto"/>
            <w:vAlign w:val="center"/>
          </w:tcPr>
          <w:p>
            <w:pPr>
              <w:jc w:val="center"/>
              <w:rPr>
                <w:rFonts w:hint="eastAsia" w:ascii="宋体"/>
                <w:b/>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75" w:hRule="atLeast"/>
        </w:trPr>
        <w:tc>
          <w:tcPr>
            <w:tcW w:w="750" w:type="pct"/>
            <w:tcBorders>
              <w:top w:val="nil"/>
              <w:left w:val="nil"/>
              <w:bottom w:val="dashed" w:color="A4A4A4" w:sz="6" w:space="0"/>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标  题：</w:t>
            </w:r>
          </w:p>
        </w:tc>
        <w:tc>
          <w:tcPr>
            <w:tcW w:w="2049" w:type="pct"/>
            <w:tcBorders>
              <w:top w:val="nil"/>
              <w:left w:val="nil"/>
              <w:bottom w:val="dashed" w:color="A4A4A4" w:sz="6" w:space="0"/>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中共中央宣传部 教育部关于印发《</w:t>
            </w:r>
            <w:bookmarkStart w:id="0" w:name="_GoBack"/>
            <w:r>
              <w:rPr>
                <w:rFonts w:hint="eastAsia" w:ascii="宋体" w:hAnsi="宋体" w:eastAsia="宋体" w:cs="宋体"/>
                <w:color w:val="545454"/>
                <w:kern w:val="0"/>
                <w:sz w:val="21"/>
                <w:szCs w:val="21"/>
                <w:lang w:val="en-US" w:eastAsia="zh-CN" w:bidi="ar"/>
              </w:rPr>
              <w:t>新时代学校思想政治理论课改革创新实施方案</w:t>
            </w:r>
            <w:bookmarkEnd w:id="0"/>
            <w:r>
              <w:rPr>
                <w:rFonts w:hint="eastAsia" w:ascii="宋体" w:hAnsi="宋体" w:eastAsia="宋体" w:cs="宋体"/>
                <w:color w:val="545454"/>
                <w:kern w:val="0"/>
                <w:sz w:val="21"/>
                <w:szCs w:val="21"/>
                <w:lang w:val="en-US" w:eastAsia="zh-CN" w:bidi="ar"/>
              </w:rPr>
              <w:t>》的通知</w:t>
            </w:r>
          </w:p>
        </w:tc>
        <w:tc>
          <w:tcPr>
            <w:tcW w:w="750" w:type="pct"/>
            <w:tcBorders>
              <w:top w:val="nil"/>
              <w:left w:val="nil"/>
              <w:bottom w:val="dashed" w:color="A4A4A4" w:sz="6" w:space="0"/>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发文机关：</w:t>
            </w:r>
          </w:p>
        </w:tc>
        <w:tc>
          <w:tcPr>
            <w:tcW w:w="1450" w:type="pct"/>
            <w:tcBorders>
              <w:top w:val="nil"/>
              <w:left w:val="nil"/>
              <w:bottom w:val="dashed" w:color="A4A4A4" w:sz="6" w:space="0"/>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中共中央宣传部 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3" w:hRule="atLeast"/>
        </w:trPr>
        <w:tc>
          <w:tcPr>
            <w:tcW w:w="750" w:type="pct"/>
            <w:tcBorders>
              <w:top w:val="nil"/>
              <w:left w:val="nil"/>
              <w:bottom w:val="dashed" w:color="A4A4A4" w:sz="6" w:space="0"/>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发文字号：</w:t>
            </w:r>
          </w:p>
        </w:tc>
        <w:tc>
          <w:tcPr>
            <w:tcW w:w="2049" w:type="pct"/>
            <w:tcBorders>
              <w:top w:val="nil"/>
              <w:left w:val="nil"/>
              <w:bottom w:val="dashed" w:color="A4A4A4" w:sz="6" w:space="0"/>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教材〔2020〕6号</w:t>
            </w:r>
          </w:p>
        </w:tc>
        <w:tc>
          <w:tcPr>
            <w:tcW w:w="750" w:type="pct"/>
            <w:tcBorders>
              <w:top w:val="nil"/>
              <w:left w:val="nil"/>
              <w:bottom w:val="dashed" w:color="A4A4A4" w:sz="6" w:space="0"/>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来  源：</w:t>
            </w:r>
          </w:p>
        </w:tc>
        <w:tc>
          <w:tcPr>
            <w:tcW w:w="1450" w:type="pct"/>
            <w:tcBorders>
              <w:top w:val="nil"/>
              <w:left w:val="nil"/>
              <w:bottom w:val="dashed" w:color="A4A4A4" w:sz="6" w:space="0"/>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教育部网站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3" w:hRule="atLeast"/>
        </w:trPr>
        <w:tc>
          <w:tcPr>
            <w:tcW w:w="750" w:type="pct"/>
            <w:tcBorders>
              <w:top w:val="nil"/>
              <w:left w:val="nil"/>
              <w:bottom w:val="dashed" w:color="A4A4A4" w:sz="6" w:space="0"/>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主题分类：</w:t>
            </w:r>
          </w:p>
        </w:tc>
        <w:tc>
          <w:tcPr>
            <w:tcW w:w="2049" w:type="pct"/>
            <w:tcBorders>
              <w:top w:val="nil"/>
              <w:left w:val="nil"/>
              <w:bottom w:val="dashed" w:color="A4A4A4" w:sz="6" w:space="0"/>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科技、教育\教育</w:t>
            </w:r>
          </w:p>
        </w:tc>
        <w:tc>
          <w:tcPr>
            <w:tcW w:w="750" w:type="pct"/>
            <w:tcBorders>
              <w:top w:val="nil"/>
              <w:left w:val="nil"/>
              <w:bottom w:val="dashed" w:color="A4A4A4" w:sz="6" w:space="0"/>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公文种类：</w:t>
            </w:r>
          </w:p>
        </w:tc>
        <w:tc>
          <w:tcPr>
            <w:tcW w:w="1450" w:type="pct"/>
            <w:tcBorders>
              <w:top w:val="nil"/>
              <w:left w:val="nil"/>
              <w:bottom w:val="dashed" w:color="A4A4A4" w:sz="6" w:space="0"/>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8" w:hRule="atLeast"/>
        </w:trPr>
        <w:tc>
          <w:tcPr>
            <w:tcW w:w="750" w:type="pct"/>
            <w:tcBorders>
              <w:top w:val="nil"/>
              <w:left w:val="nil"/>
              <w:bottom w:val="nil"/>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成文日期：</w:t>
            </w:r>
          </w:p>
        </w:tc>
        <w:tc>
          <w:tcPr>
            <w:tcW w:w="2049" w:type="pct"/>
            <w:tcBorders>
              <w:top w:val="nil"/>
              <w:left w:val="nil"/>
              <w:bottom w:val="nil"/>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2020年12月18日</w:t>
            </w:r>
          </w:p>
        </w:tc>
        <w:tc>
          <w:tcPr>
            <w:tcW w:w="750" w:type="pct"/>
            <w:tcBorders>
              <w:top w:val="nil"/>
              <w:left w:val="nil"/>
              <w:bottom w:val="nil"/>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发布日期：</w:t>
            </w:r>
          </w:p>
        </w:tc>
        <w:tc>
          <w:tcPr>
            <w:tcW w:w="1450" w:type="pct"/>
            <w:tcBorders>
              <w:top w:val="nil"/>
              <w:left w:val="nil"/>
              <w:bottom w:val="nil"/>
              <w:right w:val="nil"/>
            </w:tcBorders>
            <w:shd w:val="clear" w:color="auto" w:fill="auto"/>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lang w:val="en-US" w:eastAsia="zh-CN" w:bidi="ar"/>
              </w:rPr>
              <w:t>2021年</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0" w:afterAutospacing="0"/>
        <w:ind w:left="0" w:right="0" w:firstLine="0"/>
        <w:jc w:val="right"/>
        <w:rPr>
          <w:rFonts w:hint="eastAsia" w:ascii="宋体" w:hAnsi="宋体" w:eastAsia="宋体" w:cs="宋体"/>
          <w:i w:val="0"/>
          <w:caps w:val="0"/>
          <w:color w:val="666666"/>
          <w:spacing w:val="0"/>
          <w:sz w:val="27"/>
          <w:szCs w:val="27"/>
        </w:rPr>
      </w:pPr>
      <w:r>
        <w:rPr>
          <w:rFonts w:hint="eastAsia" w:ascii="宋体" w:hAnsi="宋体" w:eastAsia="宋体" w:cs="宋体"/>
          <w:i w:val="0"/>
          <w:caps w:val="0"/>
          <w:color w:val="666666"/>
          <w:spacing w:val="0"/>
          <w:kern w:val="0"/>
          <w:sz w:val="27"/>
          <w:szCs w:val="27"/>
          <w:bdr w:val="none" w:color="auto" w:sz="0" w:space="0"/>
          <w:shd w:val="clear" w:fill="FFFFFF"/>
          <w:lang w:val="en-US" w:eastAsia="zh-CN" w:bidi="ar"/>
        </w:rPr>
        <w:t>【字体：</w:t>
      </w:r>
      <w:r>
        <w:rPr>
          <w:rFonts w:hint="eastAsia" w:ascii="宋体" w:hAnsi="宋体" w:eastAsia="宋体" w:cs="宋体"/>
          <w:i w:val="0"/>
          <w:caps w:val="0"/>
          <w:color w:val="666666"/>
          <w:spacing w:val="0"/>
          <w:kern w:val="0"/>
          <w:sz w:val="24"/>
          <w:szCs w:val="24"/>
          <w:bdr w:val="none" w:color="auto" w:sz="0" w:space="0"/>
          <w:shd w:val="clear" w:fill="FFFFFF"/>
          <w:lang w:val="en-US" w:eastAsia="zh-CN" w:bidi="ar"/>
        </w:rPr>
        <w:t>大</w:t>
      </w:r>
      <w:r>
        <w:rPr>
          <w:rFonts w:hint="eastAsia" w:ascii="宋体" w:hAnsi="宋体" w:eastAsia="宋体" w:cs="宋体"/>
          <w:i w:val="0"/>
          <w:caps w:val="0"/>
          <w:color w:val="666666"/>
          <w:spacing w:val="0"/>
          <w:kern w:val="0"/>
          <w:sz w:val="27"/>
          <w:szCs w:val="27"/>
          <w:bdr w:val="none" w:color="auto" w:sz="0" w:space="0"/>
          <w:shd w:val="clear" w:fill="FFFFFF"/>
          <w:lang w:val="en-US" w:eastAsia="zh-CN" w:bidi="ar"/>
        </w:rPr>
        <w:t> </w:t>
      </w:r>
      <w:r>
        <w:rPr>
          <w:rFonts w:hint="eastAsia" w:ascii="宋体" w:hAnsi="宋体" w:eastAsia="宋体" w:cs="宋体"/>
          <w:i w:val="0"/>
          <w:caps w:val="0"/>
          <w:color w:val="FF0000"/>
          <w:spacing w:val="0"/>
          <w:kern w:val="0"/>
          <w:sz w:val="21"/>
          <w:szCs w:val="21"/>
          <w:bdr w:val="none" w:color="auto" w:sz="0" w:space="0"/>
          <w:shd w:val="clear" w:fill="FFFFFF"/>
          <w:lang w:val="en-US" w:eastAsia="zh-CN" w:bidi="ar"/>
        </w:rPr>
        <w:t>中</w:t>
      </w:r>
      <w:r>
        <w:rPr>
          <w:rFonts w:hint="eastAsia" w:ascii="宋体" w:hAnsi="宋体" w:eastAsia="宋体" w:cs="宋体"/>
          <w:i w:val="0"/>
          <w:caps w:val="0"/>
          <w:color w:val="666666"/>
          <w:spacing w:val="0"/>
          <w:kern w:val="0"/>
          <w:sz w:val="27"/>
          <w:szCs w:val="27"/>
          <w:bdr w:val="none" w:color="auto" w:sz="0" w:space="0"/>
          <w:shd w:val="clear" w:fill="FFFFFF"/>
          <w:lang w:val="en-US" w:eastAsia="zh-CN" w:bidi="ar"/>
        </w:rPr>
        <w:t> </w:t>
      </w:r>
      <w:r>
        <w:rPr>
          <w:rFonts w:hint="eastAsia" w:ascii="宋体" w:hAnsi="宋体" w:eastAsia="宋体" w:cs="宋体"/>
          <w:i w:val="0"/>
          <w:caps w:val="0"/>
          <w:color w:val="666666"/>
          <w:spacing w:val="0"/>
          <w:kern w:val="0"/>
          <w:sz w:val="19"/>
          <w:szCs w:val="19"/>
          <w:bdr w:val="none" w:color="auto" w:sz="0" w:space="0"/>
          <w:shd w:val="clear" w:fill="FFFFFF"/>
          <w:lang w:val="en-US" w:eastAsia="zh-CN" w:bidi="ar"/>
        </w:rPr>
        <w:t>小</w:t>
      </w:r>
      <w:r>
        <w:rPr>
          <w:rFonts w:hint="eastAsia" w:ascii="宋体" w:hAnsi="宋体" w:eastAsia="宋体" w:cs="宋体"/>
          <w:i w:val="0"/>
          <w:caps w:val="0"/>
          <w:color w:val="666666"/>
          <w:spacing w:val="0"/>
          <w:kern w:val="0"/>
          <w:sz w:val="27"/>
          <w:szCs w:val="27"/>
          <w:bdr w:val="none" w:color="auto" w:sz="0" w:space="0"/>
          <w:shd w:val="clear" w:fill="FFFFFF"/>
          <w:lang w:val="en-US" w:eastAsia="zh-CN" w:bidi="ar"/>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jc w:val="center"/>
        <w:rPr>
          <w:sz w:val="24"/>
          <w:szCs w:val="24"/>
        </w:rPr>
      </w:pPr>
      <w:r>
        <w:rPr>
          <w:rFonts w:hint="eastAsia" w:ascii="宋体" w:hAnsi="宋体" w:eastAsia="宋体" w:cs="宋体"/>
          <w:b/>
          <w:i w:val="0"/>
          <w:caps w:val="0"/>
          <w:color w:val="333333"/>
          <w:spacing w:val="0"/>
          <w:sz w:val="36"/>
          <w:szCs w:val="36"/>
          <w:bdr w:val="none" w:color="auto" w:sz="0" w:space="0"/>
          <w:shd w:val="clear" w:fill="FFFFFF"/>
        </w:rPr>
        <w:t>中共中央宣传部 教育部关于印发</w:t>
      </w:r>
      <w:r>
        <w:rPr>
          <w:rFonts w:hint="eastAsia" w:ascii="宋体" w:hAnsi="宋体" w:eastAsia="宋体" w:cs="宋体"/>
          <w:b/>
          <w:i w:val="0"/>
          <w:caps w:val="0"/>
          <w:color w:val="333333"/>
          <w:spacing w:val="0"/>
          <w:sz w:val="36"/>
          <w:szCs w:val="36"/>
          <w:bdr w:val="none" w:color="auto" w:sz="0" w:space="0"/>
          <w:shd w:val="clear" w:fill="FFFFFF"/>
        </w:rPr>
        <w:br w:type="textWrapping"/>
      </w:r>
      <w:r>
        <w:rPr>
          <w:rFonts w:hint="eastAsia" w:ascii="宋体" w:hAnsi="宋体" w:eastAsia="宋体" w:cs="宋体"/>
          <w:b/>
          <w:i w:val="0"/>
          <w:caps w:val="0"/>
          <w:color w:val="333333"/>
          <w:spacing w:val="0"/>
          <w:sz w:val="36"/>
          <w:szCs w:val="36"/>
          <w:bdr w:val="none" w:color="auto" w:sz="0" w:space="0"/>
          <w:shd w:val="clear" w:fill="FFFFFF"/>
        </w:rPr>
        <w:t>《新时代学校思想政治理论课改革创新实施方案》的通知</w:t>
      </w:r>
      <w:r>
        <w:rPr>
          <w:rFonts w:hint="eastAsia" w:ascii="宋体" w:hAnsi="宋体" w:eastAsia="宋体" w:cs="宋体"/>
          <w:i w:val="0"/>
          <w:caps w:val="0"/>
          <w:color w:val="333333"/>
          <w:spacing w:val="0"/>
          <w:sz w:val="24"/>
          <w:szCs w:val="24"/>
          <w:bdr w:val="none" w:color="auto" w:sz="0" w:space="0"/>
          <w:shd w:val="clear" w:fill="FFFFFF"/>
        </w:rPr>
        <w:br w:type="textWrapping"/>
      </w:r>
      <w:r>
        <w:rPr>
          <w:rFonts w:ascii="楷体" w:hAnsi="楷体" w:eastAsia="楷体" w:cs="楷体"/>
          <w:i w:val="0"/>
          <w:caps w:val="0"/>
          <w:color w:val="333333"/>
          <w:spacing w:val="0"/>
          <w:sz w:val="24"/>
          <w:szCs w:val="24"/>
          <w:bdr w:val="none" w:color="auto" w:sz="0" w:space="0"/>
          <w:shd w:val="clear" w:fill="FFFFFF"/>
        </w:rPr>
        <w:t>教材〔2020〕6号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各省、自治区、直辖市党委宣传部、党委教育工作部门、教育厅（教委），新疆生产建设兵团党委宣传部、教育局，有关部门（单位）教育司（局），部属各高等学校、部省合建各高等学校：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为深入贯彻中共中央办公厅、国务院办公厅《关于深化新时代学校思想政治理论课改革创新的若干意见》精神，中央宣传部、教育部制定了《新时代学校思想政治理论课改革创新实施方案》，现印发给你们，请认真贯彻执行，贯彻落实情况请及时报教育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jc w:val="righ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中共中央宣传部</w:t>
      </w:r>
      <w:r>
        <w:rPr>
          <w:rFonts w:hint="eastAsia" w:ascii="宋体" w:hAnsi="宋体" w:eastAsia="宋体" w:cs="宋体"/>
          <w:i w:val="0"/>
          <w:caps w:val="0"/>
          <w:color w:val="333333"/>
          <w:spacing w:val="0"/>
          <w:sz w:val="24"/>
          <w:szCs w:val="24"/>
          <w:bdr w:val="none" w:color="auto" w:sz="0" w:space="0"/>
          <w:shd w:val="clear" w:fill="FFFFFF"/>
        </w:rPr>
        <w:br w:type="textWrapping"/>
      </w:r>
      <w:r>
        <w:rPr>
          <w:rFonts w:hint="eastAsia" w:ascii="宋体" w:hAnsi="宋体" w:eastAsia="宋体" w:cs="宋体"/>
          <w:i w:val="0"/>
          <w:caps w:val="0"/>
          <w:color w:val="333333"/>
          <w:spacing w:val="0"/>
          <w:sz w:val="24"/>
          <w:szCs w:val="24"/>
          <w:bdr w:val="none" w:color="auto" w:sz="0" w:space="0"/>
          <w:shd w:val="clear" w:fill="FFFFFF"/>
        </w:rPr>
        <w:t>教育部</w:t>
      </w:r>
      <w:r>
        <w:rPr>
          <w:rFonts w:hint="eastAsia" w:ascii="宋体" w:hAnsi="宋体" w:eastAsia="宋体" w:cs="宋体"/>
          <w:i w:val="0"/>
          <w:caps w:val="0"/>
          <w:color w:val="333333"/>
          <w:spacing w:val="0"/>
          <w:sz w:val="24"/>
          <w:szCs w:val="24"/>
          <w:bdr w:val="none" w:color="auto" w:sz="0" w:space="0"/>
          <w:shd w:val="clear" w:fill="FFFFFF"/>
        </w:rPr>
        <w:br w:type="textWrapping"/>
      </w:r>
      <w:r>
        <w:rPr>
          <w:rFonts w:hint="eastAsia" w:ascii="宋体" w:hAnsi="宋体" w:eastAsia="宋体" w:cs="宋体"/>
          <w:i w:val="0"/>
          <w:caps w:val="0"/>
          <w:color w:val="333333"/>
          <w:spacing w:val="0"/>
          <w:sz w:val="24"/>
          <w:szCs w:val="24"/>
          <w:bdr w:val="none" w:color="auto" w:sz="0" w:space="0"/>
          <w:shd w:val="clear" w:fill="FFFFFF"/>
        </w:rPr>
        <w:t>2020年12月18日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jc w:val="center"/>
        <w:rPr>
          <w:rFonts w:hint="eastAsia" w:ascii="宋体" w:hAnsi="宋体" w:eastAsia="宋体" w:cs="宋体"/>
          <w:sz w:val="24"/>
          <w:szCs w:val="24"/>
        </w:rPr>
      </w:pPr>
      <w:r>
        <w:rPr>
          <w:rFonts w:hint="eastAsia" w:ascii="宋体" w:hAnsi="宋体" w:eastAsia="宋体" w:cs="宋体"/>
          <w:b/>
          <w:i w:val="0"/>
          <w:caps w:val="0"/>
          <w:color w:val="333333"/>
          <w:spacing w:val="0"/>
          <w:sz w:val="36"/>
          <w:szCs w:val="36"/>
          <w:bdr w:val="none" w:color="auto" w:sz="0" w:space="0"/>
          <w:shd w:val="clear" w:fill="FFFFFF"/>
        </w:rPr>
        <w:t>新时代学校思想政治理论课改革创新实施方案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为全面贯彻党的教育方针，深入落实中共中央办公厅、国务院办公厅《关于深化新时代学校思想政治理论课改革创新的若干意见》精神，充分发挥思想政治理论课（以下简称思政课）在立德树人中的关键课程作用，循序渐进、螺旋上升地开设好大中小学思政课，现就新时代学校思政课课程教材改革创新提出如下实施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一、基本要求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一是把握新时代。坚持用习近平新时代中国特色社会主义思想铸魂育人，加强“四个自信”教育，将学习贯彻习近平新时代中国特色社会主义思想体现在大中小学各学段的课程目标、课程设置和课程教材内容中，实现全覆盖、贯穿全过程。二是推进一体化。建立纵向各学段层层递进、横向各课程密切配合、必修课选修课相互协调的课程教材体系，实现课程目标、课程设置、课程教材内容的有效贯通。三是突出创新性。完善课程教材建设机制，优化教材内容，创新教学方法，推动思政课在改进中加强、在创新中提高。四是增强针对性。遵循思想政治工作规律、教书育人规律、学生成长规律，编写适用不同类型高校的教材，进一步增强思政课的思想性、理论性和亲和力、针对性。五是注重统筹性。总体推进，分类指导，分步实施，积极稳妥地做好各项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二、课程目标体系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按照循序渐进、螺旋上升的原则，立足于思政课的政治性属性，对大中小学思政课课程目标进行一体化设计，以了解学习、理解把握习近平新时代中国特色社会主义思想为课程主线，在政治认同、家国情怀、道德修养、法治意识、文化修养等方面提出明确要求，引导学生坚定“四个自信”，做德智体美劳全面发展的社会主义建设者和接班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一）小学阶段重在培养学生的道德情感。重点引导学生知晓基本国情，尊敬国旗国徽，会唱国歌；了解革命领袖和民族英雄的生平故事，培养学生对习近平新时代中国特色社会主义思想的情感认同；知道社会主义核心价值观，初步形成规则意识，知道宪法有关常识，初步具有依据法律维护自身权益的意识；讲礼貌、守纪律、知对错；形成爱党、爱国、爱社会主义、爱人民、爱集体的情感，具有做社会主义建设者和接班人的美好愿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二）初中阶段重在打牢学生的思想基础。重点引导学生初步了解习近平新时代中国特色社会主义思想，感知马克思主义的思想力量和中国特色社会主义的实践成就；增强国家意识和国情观念，树立民族自尊心、自信心、自豪感；加深理解社会主义核心价值观，了解与学生日常生活密切相关的法律常识，具有初步的宪法意识、法治观念等；明是非、讲规则、辨善恶；把党、祖国、人民装在心中，强化做社会主义建设者和接班人的思想意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三）高中阶段重在提升学生的政治素养。重点引导学生初步掌握马克思主义基本原理，了解马克思主义中国化历史进程及其理论成果，理解习近平新时代中国特色社会主义思想；树立正确的历史观、民族观、国家观、文化观，认同伟大祖国、中华民族、中华文化、中国共产党、中国特色社会主义，积极践行社会主义核心价值观，树立宪法法律至上、法律面前人人平等观念，进一步增强法治意识；有序参与公共事务，勇于承担社会责任，积极行使人民当家作主的政治权利，明方向、遵法纪、知荣辱；衷心拥护党的领导和我国社会主义制度，形成做社会主义建设者和接班人的政治认同。中等职业学校（含技工学校）课程要体现职业教育特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四）大学阶段重在增强学生的使命担当。重点引导学生系统掌握马克思主义基本原理和马克思主义中国化理论成果，了解党史、新中国史、改革开放史、社会主义发展史，认识世情、国情、党情，深刻领会习近平新时代中国特色社会主义思想，培养运用马克思主义立场观点方法分析和解决问题的能力；自觉践行社会主义核心价值观，尊重和维护宪法法律权威，识大局、尊法治、修美德；矢志不渝听党话跟党走，争做社会主义合格建设者和可靠接班人。本科及高等职业学校专科课程重在加强理论教育和学习，高等职业学校课程还要体现职业教育特色。研究生课程重在探究式教育和学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三、课程体系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根据学生成长规律，结合不同年龄段学生的认知特点，构建大中小学一体化思政课课程体系。在小学及初中阶段“道德与法治”、高中阶段“思想政治”、大学阶段“思想政治理论课”中落实课程目标要求，重点推进习近平新时代中国特色社会主义思想融入课程，实现整体设计、循序渐进、逐步深化，切实提高课程设置的针对性实效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（一）小学、初中阶段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小学、初中阶段开设“道德与法治”必修课程，课程教学内容主要包括中国特色社会主义、品德、法律常识、中华文化、心理健康等，课时占小学、初中阶段九年总课时的6%～8%。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（二）高中阶段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1.普通高中课程设置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立足学习习近平总书记最新重要讲话精神，普通高中开设“思想政治”必修课程和选择性必修课程。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必修课程教学内容包括中国特色社会主义、经济与社会、政治与法治、哲学与文化，共6学分。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选择性必修课程围绕当代国际政治与经济、法律与生活、逻辑与思维等开展教学，共6学分。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2.中等职业学校课程设置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中等职业学校（含技工学校）开设“思想政治”必修课程和选修课程。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必修课程教学内容包括中国特色社会主义、心理健康与职业生涯、哲学与人生、职业道德与法治，共144学时。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围绕时事政策教育，中华优秀传统文化、革命文化、社会主义先进文化教育，法律与职业教育，国家安全教育，民族团结进步教育，就业创业创新教育，公共卫生安全教育等教学内容，开设选修课程，不少于36学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（三）大学阶段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大学阶段开设“思想政治理论课”必修课程和选择性必修课程。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1.大学阶段必修课程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本科课程设置：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（1）马克思主义基本原理 3学分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（2）毛泽东思想和中国特色社会主义理论体系概论 5学分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（3）中国近现代史纲要 3学分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（4）思想道德与法治 3学分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（5）形势与政策 2学分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在全国重点马克思主义学院率先全面开设“习近平新时代中国特色社会主义思想概论”课，学分按有关要求执行。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高等职业学校专科课程设置：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（1）毛泽东思想和中国特色社会主义理论体系概论 4学分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（2）思想道德与法治 3学分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（3）形势与政策 1学分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硕士研究生课程设置：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新时代中国特色社会主义理论与实践 2学分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博士研究生课程设置：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中国马克思主义与当代 2学分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2.大学阶段选择性必修课程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各高校结合本校实际，统筹校内通识类课程，围绕马克思主义经典著作，党史、新中国史、改革开放史、社会主义发展史，中华优秀传统文化、革命文化、社会主义先进文化，宪法法律等，开设本科及高等职业学校专科选择性必修课程，确保学生至少从“四史”中选修1门课程；围绕习近平新时代中国特色社会主义思想专题研究、马克思恩格斯列宁经典著作选读、马克思主义与社会科学方法论、自然辩证法概论等，开设硕士、博士研究生选择性必修课程，硕士研究生至少选择1学分课程。各高校要安排选择性必修课程必要学时，充分发挥马克思主义学院统筹审核把关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各高校要规范实践教学，把思想政治教育有机融入社会实践、志愿服务、实习实训等活动中，切实提高实践教学实效。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四、课程内容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在各学段现有课程内容基础上，重点强化习近平新时代中国特色社会主义思想进课程进教材，培育和践行社会主义核心价值观，推进法治教育、劳动教育、总体国家安全观教育、公共卫生安全教育等方面内容的全面融入，实现学段纵向衔接、逐层递进，学科、课程协同联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一）小学课程。以学生的生活为基础，主要讲授学生与自我、家庭、班级、社会、国家、世界、自然等的关系，结合“看到什么”“听到什么”，了解中国特色社会主义的由来与发展，懂得当代中国怎样从站起来、富起来到强起来的奋斗历程，初步了解新时代“两步走”战略安排，帮助小学生从情感上认同伟大祖国、中华民族、中华文化、中国共产党、中国特色社会主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二）初中课程。以学生的体验为基础，主要讲授个人和集体、自我和时代、社会规则和社会秩序、社会责任和社会担当、宪法和法律、国家利益和国家目标、中国和世界等内容，通过呈现党和国家事业在各方面取得的历史性成就，引导学生明确“是什么”，树立“四个自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三）高中课程。以学生的认知为基础，讲授中国特色社会主义的开创与发展，习近平新时代中国特色社会主义思想的丰富内涵、思想精髓和理论意义，帮助学生理解社会主义基本经济制度、中国特色社会主义政治发展道路、中华优秀传统文化、革命文化和社会主义先进文化等内容，引导学生理解“为什么”，坚定“四个自信”。中等职业学校（含技工学校）课程还要体现职业教育特色，加强对学生的心理健康与职业道德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（四）本科及高等职业学校专科课程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本科及高等职业学校专科要围绕以下课程内容，根据不同类型学校和不同层次人才培养要求，进一步增强教学的针对性和实效性。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马克思主义基本原理”，主要讲授反映马克思主义世界观和方法论的最基本的原理，帮助学生深刻领会、准确把握马克思主义的根本性质和整体特征，学习掌握贯穿其中的马克思主义立场观点方法，提升运用马克思主义基本原理分析世界的能力，增强对人类社会发展规律、特别是中国特色社会主义发展规律的认识和把握，树立共产主义远大理想和中国特色社会主义共同理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毛泽东思想和中国特色社会主义理论体系概论”，主要讲授中国共产党把马克思主义基本原理同中国具体实际相结合产生的马克思主义中国化的两大理论成果，帮助学生理解毛泽东思想、邓小平理论、“三个代表”重要思想、科学发展观、习近平新时代中国特色社会主义思想是一脉相承又与时俱进的科学体系，引导学生深刻理解中国共产党为什么能、马克思主义为什么行、中国特色社会主义为什么好，坚定“四个自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中国近现代史纲要”，主要讲授中国近代以来争取民族独立、人民解放和实现国家富强、人民幸福的历史，帮助学生了解党史、国史、国情，深刻领会历史和人民选择马克思主义、选择中国共产党、选择社会主义道路、选择改革开放的必然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思想道德与法治”，主要讲授马克思主义的人生观、价值观、道德观、法治观，社会主义核心价值观与社会主义法治建设的关系，帮助学生筑牢理想信念之基，培育和践行社会主义核心价值观，传承中华传统美德，弘扬中国精神，尊重和维护宪法法律权威，提升思想道德素质和法治素养。高等职业学校结合自身特点，注重加强对学生的职业道德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形势与政策”，主要讲授党的理论创新最新成果，新时代坚持和发展中国特色社会主义的生动实践，马克思主义形势观政策观、党的路线方针政策、基本国情、国内外形势及其热点难点问题，帮助学生准确理解当代中国马克思主义，深刻领会党和国家事业取得的历史性成就、面临的历史性机遇和挑战，引导大学生正确认识世界和中国发展大势，正确认识中国特色和国际比较，正确认识时代责任和历史使命，正确认识远大抱负和脚踏实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（五）研究生课程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新时代中国特色社会主义理论与实践”，专题讲授新时代中国特色社会主义理论和实践的重大问题，帮助学生进一步掌握中国特色社会主义理论体系，深化对习近平新时代中国特色社会主义思想的认识，坚定对马克思主义的信仰、对中国特色社会主义的信念、对实现中华民族伟大复兴中国梦的信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中国马克思主义与当代”，运用当代中国马克思主义的基本观点，深入分析当代世界重大社会问题和国际经济、政治、文化、生态环境等热点问题、全球治理问题、当代科学技术前沿问题、当代重大社会思潮和理论热点等，提高学生正确分析、研判当代世界问题的能力和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五、教材体系建设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一）完善教材编审制度。在党中央集中统一领导下，国家教材委员会指导和统筹大中小学思政课课程标准、教学大纲和教材的统编统审统用。依据小学、初中、高中阶段思政课课程标准，教材实行“一标一本”，由教育部负责组织编写。大学阶段必修课教材实行“一纲一本”。由中央宣传部会同教育部组织编写本科、高等职业学校专科、研究生必修课教材，按程序审核后报中央审定，适时推出。适时组织编写“习近平新时代中国特色社会主义思想概论”课教材，规范“形势与政策”课教学资料编写使用。由教育部根据教学实际情况组织编写选择性必修课教学大纲或教材。地方或高校开设的思政课选修课教材，由地方或高校负责组织审核选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二）健全一体化教材建设机制。建立大中小学思政课教材主编和主要编写人员联席沟通制度，定期研究各学段教材编写内容。健全一体化教材建设的编审专家库，加强编写人员与审核专家的沟通交流，发挥审核专家的指导作用。建立一体化教材建设监测反馈机制，跟踪研判评估教材使用情况，为加强教材研究和修订完善提供支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三）加强教材研究。重视和加强思政课课程教材建设的基础理论、基本概念、基本规律、重大问题研究。持续开展课程教材一体化研究，每门思政课教材内容、不同学段及同一学段各门思政课教材内容的相互关系研究，教材文献资料、学术话语、表述方式、呈现形式研究，以及思政课课程与教材、教学评价之间的互动研究等，促进思政课教材的科学性、权威性与针对性、生动性有机结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四）构建立体化教材体系。加强大中小学思政课教材配套用书的建设和管理，依规进行编审工作。国家统编的中小学思政课教材的配套用书，按现行要求组织编写。高校思政课必修课教材的配套用书，根据需要由国家统一组织编写审核、推荐使用。支持、鼓励研制优秀教案、课件和案例等，推进数字资源和网络信息资源库建设，构建大中小学思政课立体化教材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六、组织领导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一）加强领导。各地各级教育部门和学校要从坚持马克思主义在意识形态领域指导地位的根本制度的高度，切实加强领导，认真组织实施，作出具体的实施工作安排，确保取得实效。省级教育部门要统筹推进大中小学思政课课程教材一体化建设，做好组织领导和督促检查，落实大中小学思政课建设专项经费。省级宣传部门要从落实意识形态工作责任制的高度推进实施。各学校要加强党组织对学校思政课的统一领导，落实党组织书记、校长带头抓思政课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二）组织好教学。开齐开足课程，大中小学都要高度重视思政课教学，确保学时学分和教学质量。健全教学机构，小学应配备一定数量的专职思政课教师，中学应配齐专职思政课教师，高校要根据课程设立教研室（部）。鼓励有条件的高校和中小学组建思政课一体化教学改革创新联合体。充分挖掘各学科专业课程蕴含的思想政治教育资源，推进各类课程与思政课同向同行。在教学中注重多样化评价方式，综合考核学生的思想政治素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三）培训好教师。针对教材重点内容和难点问题，组织开展大中小学思政课教师全员培训、专题研修，确保实现全覆盖。围绕教材使用，分课程、跨课程、跨学段组织大中小学思政课教师集体备课，每年至少一次。结合教学实践，组织大中小学思政课教师开展交流研讨，共同探讨思政课一体化教学规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四）使用好教材。统一使用国家统编教材，把教材使用情况作为教学监测、评估、检查的重要内容和主要指标。组织教师加强教材重点难点的研究，准确把握教材的基本精神和主要内容。做好教材内容向教学内容的转化，组织教师编写教案、制作课件、整理案例，切实把教材体系转化为教学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本方案从2021年秋季入学的新生开始，在全国大中小学普遍实施。</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CF6AA6"/>
    <w:rsid w:val="55CF6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2021-01-07T07:45:00Z</dcterms:created>
  <dc:creator>骑着小猪逛大街</dc:creator>
  <cp:lastModifiedBy>骑着小猪逛大街</cp:lastModifiedBy>
  <dcterms:modified xsi:type="dcterms:W3CDTF">2021-01-07T07:46:33Z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