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微软雅黑" w:hAnsi="微软雅黑" w:eastAsia="微软雅黑" w:cs="微软雅黑"/>
          <w:b w:val="0"/>
          <w:i w:val="0"/>
          <w:caps w:val="0"/>
          <w:color w:val="333333"/>
          <w:spacing w:val="0"/>
          <w:sz w:val="57"/>
          <w:szCs w:val="57"/>
        </w:rPr>
      </w:pPr>
      <w:r>
        <w:rPr>
          <w:rFonts w:hint="eastAsia" w:ascii="微软雅黑" w:hAnsi="微软雅黑" w:eastAsia="微软雅黑" w:cs="微软雅黑"/>
          <w:b w:val="0"/>
          <w:i w:val="0"/>
          <w:caps w:val="0"/>
          <w:color w:val="333333"/>
          <w:spacing w:val="0"/>
          <w:sz w:val="57"/>
          <w:szCs w:val="57"/>
          <w:bdr w:val="none" w:color="auto" w:sz="0" w:space="0"/>
          <w:shd w:val="clear" w:fill="FFFFFF"/>
        </w:rPr>
        <w:t>教育部关于实施卓越教师培养计划2.0的意见</w:t>
      </w:r>
    </w:p>
    <w:p>
      <w:pPr>
        <w:keepNext w:val="0"/>
        <w:keepLines w:val="0"/>
        <w:widowControl/>
        <w:suppressLineNumbers w:val="0"/>
        <w:pBdr>
          <w:top w:val="none" w:color="auto" w:sz="0" w:space="0"/>
          <w:left w:val="none" w:color="auto" w:sz="0" w:space="0"/>
          <w:bottom w:val="single" w:color="DCDCDC" w:sz="6"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666666"/>
          <w:spacing w:val="0"/>
          <w:sz w:val="21"/>
          <w:szCs w:val="21"/>
        </w:rPr>
      </w:pPr>
      <w:r>
        <w:rPr>
          <w:rFonts w:hint="eastAsia" w:ascii="宋体" w:hAnsi="宋体" w:eastAsia="宋体" w:cs="宋体"/>
          <w:i w:val="0"/>
          <w:caps w:val="0"/>
          <w:color w:val="666666"/>
          <w:spacing w:val="0"/>
          <w:kern w:val="0"/>
          <w:sz w:val="21"/>
          <w:szCs w:val="21"/>
          <w:bdr w:val="none" w:color="auto" w:sz="0" w:space="0"/>
          <w:shd w:val="clear" w:fill="FFFFFF"/>
          <w:lang w:val="en-US" w:eastAsia="zh-CN" w:bidi="ar"/>
        </w:rPr>
        <w:t>2018-10-10 22:07 来源： 教育部网站</w:t>
      </w:r>
    </w:p>
    <w:p>
      <w:pPr>
        <w:keepNext w:val="0"/>
        <w:keepLines w:val="0"/>
        <w:widowControl/>
        <w:suppressLineNumbers w:val="0"/>
        <w:pBdr>
          <w:top w:val="none" w:color="auto" w:sz="0" w:space="0"/>
          <w:left w:val="none" w:color="auto" w:sz="0" w:space="0"/>
          <w:bottom w:val="none" w:color="DCDCDC"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666666"/>
          <w:spacing w:val="0"/>
          <w:sz w:val="21"/>
          <w:szCs w:val="21"/>
        </w:rPr>
      </w:pPr>
      <w:r>
        <w:rPr>
          <w:rFonts w:hint="eastAsia" w:ascii="宋体" w:hAnsi="宋体" w:eastAsia="宋体" w:cs="宋体"/>
          <w:i w:val="0"/>
          <w:caps w:val="0"/>
          <w:color w:val="666666"/>
          <w:spacing w:val="0"/>
          <w:kern w:val="0"/>
          <w:sz w:val="21"/>
          <w:szCs w:val="21"/>
          <w:bdr w:val="none" w:color="auto" w:sz="0" w:space="0"/>
          <w:shd w:val="clear" w:fill="FFFFFF"/>
          <w:lang w:val="en-US" w:eastAsia="zh-CN" w:bidi="ar"/>
        </w:rPr>
        <w:t>【字体：大 中 小】打印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898989"/>
          <w:spacing w:val="0"/>
          <w:sz w:val="21"/>
          <w:szCs w:val="21"/>
        </w:rPr>
      </w:pP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"http://share.gwd.gov.cn/" \t "http://www.gov.cn/xinwen/2018-10/10/_blank"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898989"/>
          <w:spacing w:val="0"/>
          <w:sz w:val="21"/>
          <w:szCs w:val="21"/>
        </w:rPr>
      </w:pP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"http://www.gov.cn/xinwen/2018-10/10/content_5329343.htm" \o "微信"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Style w:val="8"/>
          <w:rFonts w:hint="eastAsia" w:ascii="宋体" w:hAnsi="宋体" w:eastAsia="宋体" w:cs="宋体"/>
          <w:i w:val="0"/>
          <w:caps w:val="0"/>
          <w:color w:val="000000"/>
          <w:spacing w:val="0"/>
          <w:sz w:val="21"/>
          <w:szCs w:val="21"/>
          <w:u w:val="none"/>
          <w:bdr w:val="none" w:color="auto" w:sz="0" w:space="0"/>
          <w:shd w:val="clear" w:fill="FFFFFF"/>
        </w:rPr>
        <w:t> </w: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"http://www.gov.cn/xinwen/2018-10/10/content_5329343.htm" \o "新浪微博"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Style w:val="8"/>
          <w:rFonts w:hint="eastAsia" w:ascii="宋体" w:hAnsi="宋体" w:eastAsia="宋体" w:cs="宋体"/>
          <w:i w:val="0"/>
          <w:caps w:val="0"/>
          <w:color w:val="000000"/>
          <w:spacing w:val="0"/>
          <w:sz w:val="21"/>
          <w:szCs w:val="21"/>
          <w:u w:val="none"/>
          <w:bdr w:val="none" w:color="auto" w:sz="0" w:space="0"/>
          <w:shd w:val="clear" w:fill="FFFFFF"/>
        </w:rPr>
        <w:t> </w: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i w:val="0"/>
          <w:caps w:val="0"/>
          <w:color w:val="898989"/>
          <w:spacing w:val="0"/>
          <w:kern w:val="0"/>
          <w:sz w:val="21"/>
          <w:szCs w:val="21"/>
          <w:bdr w:val="none" w:color="auto" w:sz="0" w:space="0"/>
          <w:shd w:val="clear" w:fill="FFFFFF"/>
          <w:lang w:val="en-US" w:eastAsia="zh-CN" w:bidi="ar"/>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center"/>
        <w:rPr>
          <w:sz w:val="24"/>
          <w:szCs w:val="24"/>
        </w:rPr>
      </w:pPr>
      <w:r>
        <w:rPr>
          <w:rFonts w:hint="eastAsia" w:ascii="宋体" w:hAnsi="宋体" w:eastAsia="宋体" w:cs="宋体"/>
          <w:b/>
          <w:i w:val="0"/>
          <w:caps w:val="0"/>
          <w:color w:val="333399"/>
          <w:spacing w:val="0"/>
          <w:sz w:val="24"/>
          <w:szCs w:val="24"/>
          <w:bdr w:val="none" w:color="auto" w:sz="0" w:space="0"/>
          <w:shd w:val="clear" w:fill="FFFFFF"/>
        </w:rPr>
        <w:t>教育部关于实施卓越教师培养计划2.0的意见</w:t>
      </w:r>
      <w:r>
        <w:rPr>
          <w:rFonts w:hint="eastAsia" w:ascii="宋体" w:hAnsi="宋体" w:eastAsia="宋体" w:cs="宋体"/>
          <w:i w:val="0"/>
          <w:caps w:val="0"/>
          <w:color w:val="333399"/>
          <w:spacing w:val="0"/>
          <w:sz w:val="24"/>
          <w:szCs w:val="24"/>
          <w:bdr w:val="none" w:color="auto" w:sz="0" w:space="0"/>
          <w:shd w:val="clear" w:fill="FFFFFF"/>
        </w:rPr>
        <w:br w:type="textWrapping"/>
      </w:r>
      <w:r>
        <w:rPr>
          <w:rFonts w:ascii="楷体" w:hAnsi="楷体" w:eastAsia="楷体" w:cs="楷体"/>
          <w:i w:val="0"/>
          <w:caps w:val="0"/>
          <w:color w:val="333399"/>
          <w:spacing w:val="0"/>
          <w:sz w:val="24"/>
          <w:szCs w:val="24"/>
          <w:bdr w:val="none" w:color="auto" w:sz="0" w:space="0"/>
          <w:shd w:val="clear" w:fill="FFFFFF"/>
        </w:rPr>
        <w:t>教师〔2018〕13号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各省、自治区、直辖市教育厅（教委），新疆生产建设兵团教育局，有关部门（单位）教育司（局），部属有关高等学校，部省合建各高等学校：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为贯彻《中共中央 国务院关于全面深化新时代教师队伍建设改革的意见》决策部署，落实《教育部等5部门关于印发〈教师教育振兴行动计划〉（2018—2022年）的通知》（教师〔2018〕2号）工作要求，根据《教育部关于加快建设高水平本科教育 全面提高人才培养能力的意见》，现就实施卓越教师培养计划2.0提出如下意见。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一、总体思路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围绕全面推进教育现代化的时代新要求，立足全面落实立德树人根本任务的时代新使命，坚定办学方向，坚持服务需求，创新机制模式，深化协同育人，贯通职前职后，建设一流师范院校和一流师范专业，全面引领教师教育改革发展。通过实施卓越教师培养，在师范院校办学特色上发挥排头兵作用，在师范专业培养能力提升上发挥领头雁作用，在师范人才培养上发挥风向标作用，培养造就一批教育情怀深厚、专业基础扎实、勇于创新教学、善于综合育人和具有终身学习发展能力的高素质专业化创新型中小学（含幼儿园、中等职业学校、特殊教育学校，下同）教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二、目标要求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经过五年左右的努力，办好一批高水平、有特色的教师教育院校和师范专业，师德教育的针对性和实效性显著增强，课程体系和教学内容显著更新，以师范生为中心的教育教学新形态基本形成，实践教学质量显著提高，协同培养机制基本健全，教师教育师资队伍明显优化，教师教育质量文化基本建立。到2035年，师范生的综合素质、专业化水平和创新能力显著提升，为培养造就数以百万计的骨干教师、数以十万计的卓越教师、数以万计的教育家型教师奠定坚实基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三、改革任务和重要举措</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一）全面开展师德养成教育。将学习贯彻习近平总书记对教师的殷切希望和要求作为师范生师德教育的首要任务和重点内容，将“四有”好老师标准、四个“引路人”、四个“相统一”和“四个服务”等要求细化落实到教师培养全过程。加强师范特色校园、学院文化建设，着力培养“学高为师、身正为范”的卓越教师。通过实施导师制、书院制等形式，建立师生学习、生活和成长共同体，充分发挥导师在学生品德提升、学业进步和人生规划方面的作用。通过开展实习支教、邀请名师名校长与师范生对话交流等形式，切实培养师范生的职业认同和社会责任感。通过组织经典诵读、开设专门课程、组织专题讲座等形式，推动师范生汲取中华优秀传统文化精髓，传承中华师道，涵养教育情怀，做到知行合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二）分类推进培养模式改革。适应五类教育发展需求，分类推进卓越中学、小学、幼儿园、中等职业学校和特殊教育学校教师培养改革。面向培养专业突出、底蕴深厚的卓越中学教师，重点探索本科和教育硕士研究生阶段整体设计、分段考核、有机衔接的培养模式，积极支持高水平综合大学参与。面向培养素养全面、专长发展的卓越小学教师，重点探索借鉴国际小学全科教师培养经验、继承我国养成教育传统的培养模式。面向培养幼儿为本、擅长保教的卓越幼儿园教师，重点探索幼儿园教师融合培养模式，积极开展初中毕业起点五年制专科层次幼儿园教师培养。面向培养理实一体、德业双修的卓越中职教师，重点探索校企合作“双师型”教师培养模式，主动对接战略新兴产业发展需要，开展教育硕士（职业技术教育领域）研究生培养工作。面向培养富有爱心、具有复合型知识技能的卓越特教教师，重点探索师范院校特殊教育知识技能与学科教育教学融合培养、师范院校与医学院校联合培养模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三）深化信息技术助推教育教学改革。推动人工智能、智慧学习环境等新技术与教师教育课程全方位融合，充分利用虚拟现实、增强现实和混合现实等，建设开发一批交互性、情境化的教师教育课程资源。及时吸收基础教育、职业教育改革发展最新成果，开设模块化的教师教育课程，精选中小学教育教学和教师培训优秀案例，建立短小实用的微视频和结构化、能够进行深度分析的课例库。建设200门国家教师教育精品在线开放课程，推广翻转课堂、混合式教学等新型教学模式，形成线上教学与线下教学有机结合、深度融通的自主、合作、探究学习模式。创新在线学习学分管理、学籍管理、学业成绩评价等制度，大力支持名师名课等优质资源共享。利用大数据、云计算等技术，对课程教学实施情况进行监测，有效诊断评价师范生学习状况和教学质量，为教师、教学管理人员等进行教学决策、改善教学计划、提高教学质量、保证教学效果提供参考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四）着力提高实践教学质量。设置数量充足、内容丰富的实践课程，建立健全贯穿培养全程的实践教学体系，确保实践教学前后衔接、阶梯递进，实践教学与理论教学有机结合、相互促进。全面落实高校教师与优秀中小学教师共同指导教育实践的“双导师制”，为师范生提供全方位、及时有效的实践指导。推进师范专业教学实验室、师范生教育教学技能实训教室和师范生自主研训与考核数字化平台建设，强化师范生教学基本功和教学技能训练与考核。建设教育实践管理信息系统平台，推进教育实践全过程管理，做到实习前有明确要求、实习中有监督指导、实习后有考核评价。遴选建设一批优质教育实践和企业实践基地，在师范生教育实践和专业实践、教师教育师资兼职任教等方面建立合作共赢长效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五）完善全方位协同培养机制。支持建设一批省级政府统筹，高等学校与中小学协同开展培养培训、职前与职后相互衔接的教师教育改革实验区，着力推进培养规模结构、培养目标、课程设置、资源建设、教学团队、实践基地、职后培训、质量评价、管理机制等全流程协同育人。鼓励支持高校之间交流合作，通过交换培养、教师互聘、课程互选、同步课堂、学分互认等方式，使师范生能够共享优质教育资源。积极推动医教联合培养特教教师，高校与行业企业、中等职业学校联合培养中职教师。大力支持高校开展教师教育管理体制改革，构建教师培养校内协同机制和协同文化，鼓励有条件的高校依托现有资源组建实体化的教师教育学院，加强办公空间与场所、设施与设备、人员与信息等资源的优化与整合，聚力教师教育资源，彰显教师教育文化，促进教师培养、培训、研究和服务一体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六）建强优化教师教育师资队伍。推动高校配足配优符合卓越教师培养需要的教师教育师资队伍，在岗位聘用、绩效工资分配等方面，对学科课程与教学论教师实行倾斜政策。加大学科课程与教学论博士生培养力度和教师教育师资国内访学支持力度，通过组织集中培训、校本教研、见习观摩等，提高教师教育师资的专业化水平。加强教师教育学科建设，指导高校建立符合教师教育特点的教师考核评价机制，引导和推动教师教育师资特别是学科课程与教学论教师开展基础教育、职业教育研究。通过共建中小学名师名校长工作室、特级教师流动站、企业导师人才库等，建设一支长期稳定、深度参与教师培养的兼职教师教育师资队伍。指导推动各地开展高等学校与中小学师资互聘，建立健全高校与中小学等双向交流长效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七）深化教师教育国际交流与合作。加强与境外高水平院校的交流与合作，共享优质教师教育资源，积极推进双方联合培养、学生互换、课程互选、学分互认。提高师范生赴境外观摩学习比例，采取赴境外高校交流、赴境外中小学见习实习等多种形式，拓展师范生国际视野。积极参与国际教师教育创新研究，加大教师教育师资国外访学支持力度，学习借鉴国际先进教育理念经验，扩大中国教育的国际影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八）构建追求卓越的质量保障体系。落实《普通高等学校师范类专业认证实施办法》，构建中国特色、世界水平的教师教育质量监测认证体系，分级分类开展师范类专业认证，全面保障、持续提升师范类专业人才培养质量。推动高校充分利用信息技术等多种手段，建立完善基于证据的教师培养质量全程监控与持续改进机制和师范毕业生持续跟踪反馈机制以及中小学、教育行政部门等利益相关方参与的多元社会评价机制，定期对校内外的评价结果进行综合分析并应用于教学，推动师范生培养质量的持续改进和提高，形成追求卓越的质量文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四、保障机制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一）构建三级实施体系。教育部统筹计划的组织实施工作，做好总体规划。各省（区、市）教育行政部门要结合实际情况，制定实施省级“卓越教师培养计划2.0”。各高校要结合本校实际，制定落实计划2.0的具体实施方案，纳入学校整体发展规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二）加强政策支持。优先支持计划实施高校学生参与国际合作交流、教师教育师资国内访学和出国进修；对计划实施高校适度增加教育硕士招生计划，加强教师教育学科建设，完善学位授权点布局，教育硕士、教育博士授予单位及授权点向师范院校倾斜。推进教育硕士专业学位研究生培养与教师职业资格的有机衔接。将卓越教师培养实施情况特别是培养指导师范生情况作为高校教师考核评价和职称晋升、中小学工作考核评价和特色评选、中小学教师评优和职称晋升、中小学特级教师和学科带头人评选、名师名校长遴选培养的重要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三）加大经费保障。中央高校应统筹利用中央高校教育教学改革专项等中央高校预算拨款和其他各类资源，结合学校实际，支持计划的实施。各省（区、市）加大经费投入力度，统筹地方财政高等教育、教师队伍建设资金和中央支持地方高校改革发展资金，支持计划实施高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四）强化监督检查。成立“卓越教师培养计划2.0”专家委员会，负责计划的指导、咨询服务等工作。实行动态调整，专家组将通过查阅学校进展报告、实地调研等形式对计划实施情况进行定期检查。对完成培养任务、实施成效显著的，予以相关倾斜支持；对检查不合格的，取消“卓越教师培养计划2.0”改革项目承担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righ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教育部</w:t>
      </w:r>
      <w:r>
        <w:rPr>
          <w:rFonts w:hint="eastAsia" w:ascii="宋体" w:hAnsi="宋体" w:eastAsia="宋体" w:cs="宋体"/>
          <w:i w:val="0"/>
          <w:caps w:val="0"/>
          <w:color w:val="333333"/>
          <w:spacing w:val="0"/>
          <w:sz w:val="24"/>
          <w:szCs w:val="24"/>
          <w:bdr w:val="none" w:color="auto" w:sz="0" w:space="0"/>
          <w:shd w:val="clear" w:fill="FFFFFF"/>
        </w:rPr>
        <w:br w:type="textWrapping"/>
      </w:r>
      <w:r>
        <w:rPr>
          <w:rFonts w:hint="eastAsia" w:ascii="宋体" w:hAnsi="宋体" w:eastAsia="宋体" w:cs="宋体"/>
          <w:i w:val="0"/>
          <w:caps w:val="0"/>
          <w:color w:val="333333"/>
          <w:spacing w:val="0"/>
          <w:sz w:val="24"/>
          <w:szCs w:val="24"/>
          <w:bdr w:val="none" w:color="auto" w:sz="0" w:space="0"/>
          <w:shd w:val="clear" w:fill="FFFFFF"/>
        </w:rPr>
        <w:t>2018年9月17日</w:t>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24386F"/>
    <w:rsid w:val="6A243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2021-01-07T08:03:00Z</dcterms:created>
  <dc:creator>骑着小猪逛大街</dc:creator>
  <cp:lastModifiedBy>骑着小猪逛大街</cp:lastModifiedBy>
  <cp:lastPrinted>2021-01-07T08:08:03Z</cp:lastPrinted>
  <dcterms:modified xsi:type="dcterms:W3CDTF">2021-01-07T08:08:13Z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