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079"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9"/>
        <w:gridCol w:w="2205"/>
        <w:gridCol w:w="729"/>
        <w:gridCol w:w="1836"/>
        <w:gridCol w:w="729"/>
        <w:gridCol w:w="28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blCellSpacing w:w="0" w:type="dxa"/>
        </w:trPr>
        <w:tc>
          <w:tcPr>
            <w:tcW w:w="75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信息名称：</w:t>
            </w:r>
          </w:p>
        </w:tc>
        <w:tc>
          <w:tcPr>
            <w:tcW w:w="0" w:type="auto"/>
            <w:gridSpan w:val="5"/>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教育部关于一流本科课程建设的实施意见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1" w:hRule="atLeast"/>
          <w:tblCellSpacing w:w="0" w:type="dxa"/>
        </w:trPr>
        <w:tc>
          <w:tcPr>
            <w:tcW w:w="75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信息索引：</w:t>
            </w:r>
          </w:p>
        </w:tc>
        <w:tc>
          <w:tcPr>
            <w:tcW w:w="1816"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360A08-07-2019-0023-1</w:t>
            </w:r>
          </w:p>
        </w:tc>
        <w:tc>
          <w:tcPr>
            <w:tcW w:w="75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生成日期：</w:t>
            </w:r>
          </w:p>
        </w:tc>
        <w:tc>
          <w:tcPr>
            <w:tcW w:w="1906"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2019-10-30</w:t>
            </w:r>
          </w:p>
        </w:tc>
        <w:tc>
          <w:tcPr>
            <w:tcW w:w="75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发文机构：</w:t>
            </w:r>
          </w:p>
        </w:tc>
        <w:tc>
          <w:tcPr>
            <w:tcW w:w="3086"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中华人民共和国教育部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1" w:hRule="atLeast"/>
          <w:tblCellSpacing w:w="0" w:type="dxa"/>
        </w:trPr>
        <w:tc>
          <w:tcPr>
            <w:tcW w:w="75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发文字号：</w:t>
            </w:r>
          </w:p>
        </w:tc>
        <w:tc>
          <w:tcPr>
            <w:tcW w:w="0" w:type="auto"/>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教高〔2019〕8号</w:t>
            </w:r>
          </w:p>
        </w:tc>
        <w:tc>
          <w:tcPr>
            <w:tcW w:w="75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信息类别：</w:t>
            </w:r>
          </w:p>
        </w:tc>
        <w:tc>
          <w:tcPr>
            <w:tcW w:w="0" w:type="auto"/>
            <w:gridSpan w:val="3"/>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1" w:hRule="atLeast"/>
          <w:tblCellSpacing w:w="0" w:type="dxa"/>
        </w:trPr>
        <w:tc>
          <w:tcPr>
            <w:tcW w:w="757" w:type="dxa"/>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b/>
                <w:i w:val="0"/>
                <w:caps w:val="0"/>
                <w:color w:val="4B4B4B"/>
                <w:spacing w:val="0"/>
                <w:sz w:val="21"/>
                <w:szCs w:val="21"/>
              </w:rPr>
            </w:pPr>
            <w:r>
              <w:rPr>
                <w:rFonts w:hint="eastAsia" w:ascii="宋体" w:hAnsi="宋体" w:eastAsia="宋体" w:cs="宋体"/>
                <w:b/>
                <w:i w:val="0"/>
                <w:caps w:val="0"/>
                <w:color w:val="4B4B4B"/>
                <w:spacing w:val="0"/>
                <w:kern w:val="0"/>
                <w:sz w:val="21"/>
                <w:szCs w:val="21"/>
                <w:bdr w:val="none" w:color="auto" w:sz="0" w:space="0"/>
                <w:lang w:val="en-US" w:eastAsia="zh-CN" w:bidi="ar"/>
              </w:rPr>
              <w:t>内容概述：</w:t>
            </w:r>
          </w:p>
        </w:tc>
        <w:tc>
          <w:tcPr>
            <w:tcW w:w="0" w:type="auto"/>
            <w:gridSpan w:val="5"/>
            <w:tcBorders>
              <w:top w:val="nil"/>
              <w:left w:val="nil"/>
              <w:bottom w:val="nil"/>
              <w:right w:val="nil"/>
            </w:tcBorders>
            <w:shd w:val="clear"/>
            <w:vAlign w:val="top"/>
          </w:tcPr>
          <w:p>
            <w:pPr>
              <w:keepNext w:val="0"/>
              <w:keepLines w:val="0"/>
              <w:widowControl/>
              <w:suppressLineNumbers w:val="0"/>
              <w:spacing w:before="0" w:beforeAutospacing="0" w:after="0" w:afterAutospacing="0" w:line="375" w:lineRule="atLeast"/>
              <w:ind w:left="0" w:right="0" w:firstLine="0"/>
              <w:jc w:val="left"/>
              <w:rPr>
                <w:rFonts w:hint="eastAsia" w:ascii="宋体" w:hAnsi="宋体" w:eastAsia="宋体" w:cs="宋体"/>
                <w:i w:val="0"/>
                <w:caps w:val="0"/>
                <w:color w:val="4B4B4B"/>
                <w:spacing w:val="0"/>
                <w:sz w:val="21"/>
                <w:szCs w:val="21"/>
              </w:rPr>
            </w:pPr>
            <w:r>
              <w:rPr>
                <w:rFonts w:hint="eastAsia" w:ascii="宋体" w:hAnsi="宋体" w:eastAsia="宋体" w:cs="宋体"/>
                <w:i w:val="0"/>
                <w:caps w:val="0"/>
                <w:color w:val="4B4B4B"/>
                <w:spacing w:val="0"/>
                <w:kern w:val="0"/>
                <w:sz w:val="21"/>
                <w:szCs w:val="21"/>
                <w:bdr w:val="none" w:color="auto" w:sz="0" w:space="0"/>
                <w:lang w:val="en-US" w:eastAsia="zh-CN" w:bidi="ar"/>
              </w:rPr>
              <w:t>教育部发布《关于一流本科课程建设的实施意见》。</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color w:val="4B4B4B"/>
          <w:sz w:val="30"/>
          <w:szCs w:val="30"/>
        </w:rPr>
      </w:pPr>
      <w:bookmarkStart w:id="0" w:name="_GoBack"/>
      <w:r>
        <w:rPr>
          <w:rFonts w:hint="eastAsia" w:ascii="微软雅黑" w:hAnsi="微软雅黑" w:eastAsia="微软雅黑" w:cs="微软雅黑"/>
          <w:b/>
          <w:i w:val="0"/>
          <w:caps w:val="0"/>
          <w:color w:val="4B4B4B"/>
          <w:spacing w:val="0"/>
          <w:sz w:val="30"/>
          <w:szCs w:val="30"/>
          <w:bdr w:val="none" w:color="auto" w:sz="0" w:space="0"/>
        </w:rPr>
        <w:t>教育部关于一流本科课程建设的实施意见</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教高〔2019〕8号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课程是人才培养的核心要素，课程质量直接决定人才培养质量。为贯彻落实习近平总书记关于教育的重要论述和全国教育大会精神，落实新时代全国高等学校本科教育工作会议要求，必须深化教育教学改革，必须把教学改革成果落实到课程建设上。现就一流本科课程建设提出如下实施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一、总体要求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（一）指导思想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以习近平新时代中国特色社会主义思想为指导，贯彻落实党的十九大精神，落实立德树人根本任务，把立德树人成效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（二）总体目标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（三）基本原则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——坚持分类建设。依据高校办学定位和人才培养目标定位，建设适应创新型、复合型、应用型人才培养需要的一流本科课程，实现不同类型高校一流本科课程建设全覆盖。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坚持扶强扶特。着力引导“双一流”建设高校、部省合建高校发挥引领示范作用，重点打造一批高水平课程，为卓越拔尖人才培养提供有力支撑。重点支持已有建设基础、取得明显教学成效的课程，让优的更优、强的更强。重视特色课程建设，实现一流本科课程多样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提升高阶性。课程目标坚持知识、能力、素质有机融合，培养学生解决复杂问题的综合能力和高级思维。课程内容强调广度和深度，突破习惯性认知模式，培养学生深度分析、大胆质疑、勇于创新的精神和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——突出创新性。教学内容体现前沿性与时代性，及时将学术研究、科技发展前沿成果引入课程。教学方法体现先进性与互动性，大力推进现代信息技术与教学深度融合，积极引导学生进行探究式与个性化学习。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增加挑战度。课程设计增加研究性、创新性、综合性内容，加大学生学习投入，科学“增负”，让学生体验“跳一跳才能够得着”的学习挑战。严格考核考试评价，增强学生经过刻苦学习收获能力和素质提高的成就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二、建设内容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课程思政的理念形成广泛共识，构建全员全程全方位育人大格局。确立学生中心、产出导向、持续改进的理念，提升课程的高阶性，突出课程的创新性，增加课程的挑战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学习全覆盖，推动教师培训常态化，将培训学分作为教师资格定期注册、教师考核的必备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四）改革方法，课堂活起来。以提升教学效果为目的创新教学方法。强化课堂设计，解决好怎么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六）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七）政策激励，教学热起来。以教学贡献为核心内容制定激励政策。加大课程建设的支持力度，加大优秀课程和教师的奖励力度，加大教学业绩在专业技术职务评聘中的权重，营造重视本科课程改革与建设的良好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三、实施一流本科课程双万计划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因校制宜、因课制宜建设省级一流本科课程，并报我部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四、组织管理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（一）教育部负责统筹指导一流本科课程建设工作，组织有关专家和机构研究制定一流本科课程建设、应用与管理的相关标准规范。公布国家级一流本科课程推荐认定结果。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省级教育行政部门研究制定省级一流本科课程建设实施方案，制定推动本地区一流本科课程建设与教学改革配套政策，建设省级一流本科课程。加强省级课程服务平台的管理，积极推动一流本科课程开放共享。</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（四）高等学校教学指导委员会要加强课程建设理论研究和分类指导，组织制订相关专业一流本科课程建设指南，引导高校汇聚优秀教师联合建设课程群，共享优质课程资源。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（五）课程服务平台承担一流本科课程服务和数据安全保障的主体责任，配合开展课程审查和线上教学活动。要不断更新并提升技术和数据服务水平，监控和打击不良学习行为。加强课程平台间的交流与合作。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（六）中央部门所属高校统筹利用“中央高校教育教学改革专项”等各类资源支持一流本科课程建设。地方高校统筹地方财政高等教育资金和中央支持地方高校改革发展资金支持一流本科课程建设。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附件：“双万计划”国家级一流本科课程推荐认定办法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教育部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2019年10月24日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B4B4B"/>
          <w:sz w:val="24"/>
          <w:szCs w:val="24"/>
        </w:rPr>
      </w:pPr>
      <w:r>
        <w:rPr>
          <w:rFonts w:hint="eastAsia" w:ascii="微软雅黑" w:hAnsi="微软雅黑" w:eastAsia="微软雅黑" w:cs="微软雅黑"/>
          <w:b/>
          <w:i w:val="0"/>
          <w:caps w:val="0"/>
          <w:color w:val="4B4B4B"/>
          <w:spacing w:val="0"/>
          <w:sz w:val="24"/>
          <w:szCs w:val="24"/>
          <w:bdr w:val="none" w:color="auto" w:sz="0" w:space="0"/>
        </w:rPr>
        <w:t>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i w:val="0"/>
          <w:caps w:val="0"/>
          <w:color w:val="4B4B4B"/>
          <w:spacing w:val="0"/>
          <w:sz w:val="24"/>
          <w:szCs w:val="24"/>
          <w:bdr w:val="none" w:color="auto" w:sz="0" w:space="0"/>
        </w:rPr>
        <w:t>“双万计划”国家级一流本科课程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Fonts w:hint="eastAsia" w:ascii="微软雅黑" w:hAnsi="微软雅黑" w:eastAsia="微软雅黑" w:cs="微软雅黑"/>
          <w:b/>
          <w:i w:val="0"/>
          <w:caps w:val="0"/>
          <w:color w:val="4B4B4B"/>
          <w:spacing w:val="0"/>
          <w:sz w:val="24"/>
          <w:szCs w:val="24"/>
          <w:bdr w:val="none" w:color="auto" w:sz="0" w:space="0"/>
        </w:rPr>
        <w:t>推荐认定办法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一、推荐范围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普通本科高校纳入人才培养方案且设置学分的本科课程均可推荐，包括思想政治理论课、公共基础课、专业基础课、专业课以及通识课等独立设置的本科理论课程、实验课程和社会实践课程等。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二、推荐类型与计划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线上一流课程。即国家精品在线开放课程，突出优质、开放、共享，打造中国慕课品牌。完成4000门左右国家精品在线开放课程认定，构建内容更加丰富、结构更加合理、类别更加全面的国家级精品慕课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三、推荐条件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（一）教学理念先进。坚持立德树人，体现以学生发展为中心，致力于开启学生内在潜力和学习动力，注重学生德智体美劳全面发展。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（三）课程目标有效支撑培养目标达成。课程目标符合学校办学定位和人才培养目标，注重知识、能力、素质培养。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（四）课程教学设计科学合理。围绕目标达成、教学内容、组织实施和多元评价需求进行整体规划，教学策略、教学方法、教学过程、教学评价等设计合理。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（六）教学组织与实施突出学生中心地位。根据学生认知规律和接受特点，创新教与学模式，因材施教，促进师生之间、学生之间的交流互动、资源共享、知识生成，教学反馈及时，教学效果显著。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（七）课程管理与评价科学且可测量。教师备课要求明确，学生学习管理严格。针对教学目标、教学内容、教学组织等采用多元化考核评价，过程可回溯，诊断改进积极有效。教学过程材料完整，可借鉴可监督。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四、推荐方式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除线上一流课程、虚拟仿真实验教学一流课程继续按有关文件实施外，线下一流课程、线上线下混合式一流课程和社会实践一流课程采用以下推荐方式。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（一）推荐总额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教育部按照国家级线下一流课程、线上线下混合式一流课程和社会实践一流课程三年计划总数确定推荐总额，分别下达至中央部门所属高校和各省级教育行政部门。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（二）分赛道推荐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按照中央部门所属高校、地方高校的办学定位和培养目标特点分赛道推荐，名额分列。部省合建高校推荐课程纳入中央部门所属高校赛道。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（三）推荐方式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（四）推荐材料要求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课程团队须提交申报书、时长10分钟内的说课视频（包括教学理念、课程设计、课程实施、改革成效等）和其他佐证材料。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五、认定方式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教育部分年度组织专家对推荐课程进行认定，经公示后向社会发布。对课程团队成员存在师德师风问题、学术不端问题、五年内出现过重大教学事故，课程内容存在思想性科学性问题的，实行一票否决。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w:t>
      </w:r>
      <w:r>
        <w:rPr>
          <w:rFonts w:hint="eastAsia" w:ascii="微软雅黑" w:hAnsi="微软雅黑" w:eastAsia="微软雅黑" w:cs="微软雅黑"/>
          <w:b/>
          <w:i w:val="0"/>
          <w:caps w:val="0"/>
          <w:color w:val="4B4B4B"/>
          <w:spacing w:val="0"/>
          <w:sz w:val="24"/>
          <w:szCs w:val="24"/>
          <w:bdr w:val="none" w:color="auto" w:sz="0" w:space="0"/>
        </w:rPr>
        <w:t>六、认定课程管理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i w:val="0"/>
          <w:caps w:val="0"/>
          <w:color w:val="4B4B4B"/>
          <w:spacing w:val="0"/>
          <w:sz w:val="24"/>
          <w:szCs w:val="24"/>
          <w:bdr w:val="none" w:color="auto" w:sz="0" w:space="0"/>
        </w:rPr>
        <w:t>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C2CFD"/>
    <w:rsid w:val="2D3C2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2021-01-07T08:20:00Z</dcterms:created>
  <dc:creator>骑着小猪逛大街</dc:creator>
  <cp:lastModifiedBy>骑着小猪逛大街</cp:lastModifiedBy>
  <cp:lastPrinted>2021-01-07T08:29:47Z</cp:lastPrinted>
  <dcterms:modified xsi:type="dcterms:W3CDTF">2021-01-07T08:30:01Z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