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6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50"/>
        <w:gridCol w:w="4326"/>
        <w:gridCol w:w="1050"/>
        <w:gridCol w:w="31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8" w:hRule="atLeast"/>
        </w:trPr>
        <w:tc>
          <w:tcPr>
            <w:tcW w:w="400" w:type="pct"/>
            <w:tcBorders>
              <w:top w:val="nil"/>
              <w:left w:val="nil"/>
              <w:bottom w:val="nil"/>
              <w:right w:val="nil"/>
            </w:tcBorders>
            <w:shd w:val="clear"/>
            <w:vAlign w:val="center"/>
          </w:tcPr>
          <w:p>
            <w:pPr>
              <w:jc w:val="center"/>
              <w:rPr>
                <w:rFonts w:hint="eastAsia" w:ascii="宋体"/>
                <w:b/>
                <w:sz w:val="24"/>
                <w:szCs w:val="24"/>
              </w:rPr>
            </w:pPr>
          </w:p>
        </w:tc>
        <w:tc>
          <w:tcPr>
            <w:tcW w:w="2400" w:type="pct"/>
            <w:tcBorders>
              <w:top w:val="nil"/>
              <w:left w:val="nil"/>
              <w:bottom w:val="nil"/>
              <w:right w:val="nil"/>
            </w:tcBorders>
            <w:shd w:val="clear"/>
            <w:vAlign w:val="center"/>
          </w:tcPr>
          <w:p>
            <w:pPr>
              <w:jc w:val="center"/>
              <w:rPr>
                <w:rFonts w:hint="eastAsia" w:ascii="宋体"/>
                <w:b/>
                <w:sz w:val="24"/>
                <w:szCs w:val="24"/>
              </w:rPr>
            </w:pPr>
          </w:p>
        </w:tc>
        <w:tc>
          <w:tcPr>
            <w:tcW w:w="400" w:type="pct"/>
            <w:tcBorders>
              <w:top w:val="nil"/>
              <w:left w:val="nil"/>
              <w:bottom w:val="nil"/>
              <w:right w:val="nil"/>
            </w:tcBorders>
            <w:shd w:val="clear"/>
            <w:vAlign w:val="center"/>
          </w:tcPr>
          <w:p>
            <w:pPr>
              <w:jc w:val="center"/>
              <w:rPr>
                <w:rFonts w:hint="eastAsia" w:ascii="宋体"/>
                <w:b/>
                <w:sz w:val="24"/>
                <w:szCs w:val="24"/>
              </w:rPr>
            </w:pPr>
          </w:p>
        </w:tc>
        <w:tc>
          <w:tcPr>
            <w:tcW w:w="1800" w:type="pct"/>
            <w:tcBorders>
              <w:top w:val="nil"/>
              <w:left w:val="nil"/>
              <w:bottom w:val="nil"/>
              <w:right w:val="nil"/>
            </w:tcBorders>
            <w:shd w:val="clear"/>
            <w:vAlign w:val="center"/>
          </w:tcPr>
          <w:p>
            <w:pPr>
              <w:jc w:val="center"/>
              <w:rPr>
                <w:rFonts w:hint="eastAsia" w:ascii="宋体"/>
                <w:b/>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87" w:hRule="atLeast"/>
        </w:trPr>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标  题：</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教育部关于印发《高等学校课程思政建设指导纲要》的通知</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发文机关：</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01" w:hRule="atLeast"/>
        </w:trPr>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发文字号：</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教高〔2020〕3号</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来  源：</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教育部网站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01" w:hRule="atLeast"/>
        </w:trPr>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主题分类：</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科技、教育\教育</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公文种类：</w:t>
            </w:r>
          </w:p>
        </w:tc>
        <w:tc>
          <w:tcPr>
            <w:tcW w:w="0" w:type="auto"/>
            <w:tcBorders>
              <w:top w:val="nil"/>
              <w:left w:val="nil"/>
              <w:bottom w:val="dashed" w:color="A4A4A4" w:sz="6" w:space="0"/>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01" w:hRule="atLeast"/>
        </w:trPr>
        <w:tc>
          <w:tcPr>
            <w:tcW w:w="0" w:type="auto"/>
            <w:tcBorders>
              <w:top w:val="nil"/>
              <w:left w:val="nil"/>
              <w:bottom w:val="nil"/>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成文日期：</w:t>
            </w:r>
          </w:p>
        </w:tc>
        <w:tc>
          <w:tcPr>
            <w:tcW w:w="0" w:type="auto"/>
            <w:tcBorders>
              <w:top w:val="nil"/>
              <w:left w:val="nil"/>
              <w:bottom w:val="nil"/>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2020年05月28日</w:t>
            </w:r>
          </w:p>
        </w:tc>
        <w:tc>
          <w:tcPr>
            <w:tcW w:w="0" w:type="auto"/>
            <w:tcBorders>
              <w:top w:val="nil"/>
              <w:left w:val="nil"/>
              <w:bottom w:val="nil"/>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发布日期：</w:t>
            </w:r>
          </w:p>
        </w:tc>
        <w:tc>
          <w:tcPr>
            <w:tcW w:w="0" w:type="auto"/>
            <w:tcBorders>
              <w:top w:val="nil"/>
              <w:left w:val="nil"/>
              <w:bottom w:val="nil"/>
              <w:right w:val="nil"/>
            </w:tcBorders>
            <w:shd w:val="clear"/>
            <w:tcMar>
              <w:top w:w="180" w:type="dxa"/>
              <w:bottom w:w="18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2020年</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0" w:afterAutospacing="0"/>
        <w:ind w:left="0" w:right="0" w:firstLine="0"/>
        <w:jc w:val="right"/>
        <w:rPr>
          <w:rFonts w:hint="eastAsia" w:ascii="宋体" w:hAnsi="宋体" w:eastAsia="宋体" w:cs="宋体"/>
          <w:i w:val="0"/>
          <w:caps w:val="0"/>
          <w:color w:val="666666"/>
          <w:spacing w:val="0"/>
          <w:sz w:val="27"/>
          <w:szCs w:val="27"/>
        </w:rPr>
      </w:pP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【字体：</w:t>
      </w:r>
      <w:r>
        <w:rPr>
          <w:rFonts w:hint="eastAsia" w:ascii="宋体" w:hAnsi="宋体" w:eastAsia="宋体" w:cs="宋体"/>
          <w:i w:val="0"/>
          <w:caps w:val="0"/>
          <w:color w:val="666666"/>
          <w:spacing w:val="0"/>
          <w:kern w:val="0"/>
          <w:sz w:val="24"/>
          <w:szCs w:val="24"/>
          <w:bdr w:val="none" w:color="auto" w:sz="0" w:space="0"/>
          <w:shd w:val="clear" w:fill="FFFFFF"/>
          <w:lang w:val="en-US" w:eastAsia="zh-CN" w:bidi="ar"/>
        </w:rPr>
        <w:t>大</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 </w:t>
      </w:r>
      <w:r>
        <w:rPr>
          <w:rFonts w:hint="eastAsia" w:ascii="宋体" w:hAnsi="宋体" w:eastAsia="宋体" w:cs="宋体"/>
          <w:i w:val="0"/>
          <w:caps w:val="0"/>
          <w:color w:val="FF0000"/>
          <w:spacing w:val="0"/>
          <w:kern w:val="0"/>
          <w:sz w:val="21"/>
          <w:szCs w:val="21"/>
          <w:bdr w:val="none" w:color="auto" w:sz="0" w:space="0"/>
          <w:shd w:val="clear" w:fill="FFFFFF"/>
          <w:lang w:val="en-US" w:eastAsia="zh-CN" w:bidi="ar"/>
        </w:rPr>
        <w:t>中</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 </w:t>
      </w:r>
      <w:r>
        <w:rPr>
          <w:rFonts w:hint="eastAsia" w:ascii="宋体" w:hAnsi="宋体" w:eastAsia="宋体" w:cs="宋体"/>
          <w:i w:val="0"/>
          <w:caps w:val="0"/>
          <w:color w:val="666666"/>
          <w:spacing w:val="0"/>
          <w:kern w:val="0"/>
          <w:sz w:val="19"/>
          <w:szCs w:val="19"/>
          <w:bdr w:val="none" w:color="auto" w:sz="0" w:space="0"/>
          <w:shd w:val="clear" w:fill="FFFFFF"/>
          <w:lang w:val="en-US" w:eastAsia="zh-CN" w:bidi="ar"/>
        </w:rPr>
        <w:t>小</w:t>
      </w:r>
      <w:r>
        <w:rPr>
          <w:rFonts w:hint="eastAsia" w:ascii="宋体" w:hAnsi="宋体" w:eastAsia="宋体" w:cs="宋体"/>
          <w:i w:val="0"/>
          <w:caps w:val="0"/>
          <w:color w:val="666666"/>
          <w:spacing w:val="0"/>
          <w:kern w:val="0"/>
          <w:sz w:val="27"/>
          <w:szCs w:val="27"/>
          <w:bdr w:val="none" w:color="auto" w:sz="0" w:space="0"/>
          <w:shd w:val="clear" w:fill="FFFFFF"/>
          <w:lang w:val="en-US" w:eastAsia="zh-CN" w:bidi="ar"/>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center"/>
        <w:rPr>
          <w:sz w:val="24"/>
          <w:szCs w:val="24"/>
        </w:rPr>
      </w:pPr>
      <w:bookmarkStart w:id="0" w:name="_GoBack"/>
      <w:r>
        <w:rPr>
          <w:rFonts w:hint="eastAsia" w:ascii="宋体" w:hAnsi="宋体" w:eastAsia="宋体" w:cs="宋体"/>
          <w:b/>
          <w:i w:val="0"/>
          <w:caps w:val="0"/>
          <w:color w:val="333333"/>
          <w:spacing w:val="0"/>
          <w:sz w:val="36"/>
          <w:szCs w:val="36"/>
          <w:bdr w:val="none" w:color="auto" w:sz="0" w:space="0"/>
          <w:shd w:val="clear" w:fill="FFFFFF"/>
        </w:rPr>
        <w:t>教育部关于印发《高等学校课程思政建设指导纲要》的通知</w:t>
      </w:r>
      <w:r>
        <w:rPr>
          <w:rFonts w:hint="eastAsia" w:ascii="宋体" w:hAnsi="宋体" w:eastAsia="宋体" w:cs="宋体"/>
          <w:i w:val="0"/>
          <w:caps w:val="0"/>
          <w:color w:val="333333"/>
          <w:spacing w:val="0"/>
          <w:sz w:val="24"/>
          <w:szCs w:val="24"/>
          <w:bdr w:val="none" w:color="auto" w:sz="0" w:space="0"/>
          <w:shd w:val="clear" w:fill="FFFFFF"/>
        </w:rPr>
        <w:br w:type="textWrapping"/>
      </w:r>
      <w:bookmarkEnd w:id="0"/>
      <w:r>
        <w:rPr>
          <w:rFonts w:ascii="楷体" w:hAnsi="楷体" w:eastAsia="楷体" w:cs="楷体"/>
          <w:i w:val="0"/>
          <w:caps w:val="0"/>
          <w:color w:val="333333"/>
          <w:spacing w:val="0"/>
          <w:sz w:val="24"/>
          <w:szCs w:val="24"/>
          <w:bdr w:val="none" w:color="auto" w:sz="0" w:space="0"/>
          <w:shd w:val="clear" w:fill="FFFFFF"/>
        </w:rPr>
        <w:t>教高〔2020〕3号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各省、自治区、直辖市教育厅（教委），新疆生产建设兵团教育局，有关部门（单位）教育司（局），部属各高等学校、部省合建各高等学校：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《高等学校课程思政建设指导纲要》已经教育部党组会议审议通过，现印发给你们，请结合实际认真贯彻执行。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right"/>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教育部</w:t>
      </w:r>
      <w:r>
        <w:rPr>
          <w:rFonts w:hint="eastAsia" w:ascii="宋体" w:hAnsi="宋体" w:eastAsia="宋体" w:cs="宋体"/>
          <w:i w:val="0"/>
          <w:caps w:val="0"/>
          <w:color w:val="333333"/>
          <w:spacing w:val="0"/>
          <w:sz w:val="24"/>
          <w:szCs w:val="24"/>
          <w:bdr w:val="none" w:color="auto" w:sz="0" w:space="0"/>
          <w:shd w:val="clear" w:fill="FFFFFF"/>
        </w:rPr>
        <w:br w:type="textWrapping"/>
      </w:r>
      <w:r>
        <w:rPr>
          <w:rFonts w:hint="eastAsia" w:ascii="宋体" w:hAnsi="宋体" w:eastAsia="宋体" w:cs="宋体"/>
          <w:i w:val="0"/>
          <w:caps w:val="0"/>
          <w:color w:val="333333"/>
          <w:spacing w:val="0"/>
          <w:sz w:val="24"/>
          <w:szCs w:val="24"/>
          <w:bdr w:val="none" w:color="auto" w:sz="0" w:space="0"/>
          <w:shd w:val="clear" w:fill="FFFFFF"/>
        </w:rPr>
        <w:t>2020年5月28日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center"/>
        <w:rPr>
          <w:rFonts w:hint="eastAsia" w:ascii="宋体" w:hAnsi="宋体" w:eastAsia="宋体" w:cs="宋体"/>
          <w:sz w:val="24"/>
          <w:szCs w:val="24"/>
        </w:rPr>
      </w:pPr>
      <w:r>
        <w:rPr>
          <w:rFonts w:hint="eastAsia" w:ascii="宋体" w:hAnsi="宋体" w:eastAsia="宋体" w:cs="宋体"/>
          <w:b/>
          <w:i w:val="0"/>
          <w:caps w:val="0"/>
          <w:color w:val="333333"/>
          <w:spacing w:val="0"/>
          <w:sz w:val="36"/>
          <w:szCs w:val="36"/>
          <w:bdr w:val="none" w:color="auto" w:sz="0" w:space="0"/>
          <w:shd w:val="clear" w:fill="FFFFFF"/>
        </w:rPr>
        <w:t>高等学校课程思政建设指导纲要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为深入贯彻落实习近平总书记关于教育的重要论述和全国教育大会精神，贯彻落实中共中央办公厅、国务院办公厅《关于深化新时代学校思想政治理论课改革创新的若干意见》，把思想政治教育贯穿人才培养体系，全面推进高校课程思政建设，发挥好每门课程的育人作用，提高高校人才培养质量，特制定本纲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一、全面推进课程思政建设是落实立德树人根本任务的战略举措</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培养什么人、怎样培养人、为谁培养人是教育的根本问题，立德树人成效是检验高校一切工作的根本标准。落实立德树人根本任务，必须将价值塑造、知识传授和能力培养三者融为一体、不可割裂。全面推进课程思政建设，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与思政课程同向同行，将显性教育和隐性教育相统一，形成协同效应，构建全员全程全方位育人大格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二、课程思政建设是全面提高人才培养质量的重要任务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高等学校人才培养是育人和育才相统一的过程。建设高水平人才培养体系，必须将思想政治工作体系贯通其中，必须抓好课程思政建设，解决好专业教育和思政教育“两张皮”问题。要牢固确立人才培养的中心地位，围绕构建高水平人才培养体系，不断完善课程思政工作体系、教学体系和内容体系。高校主要负责同志要直接抓人才培养工作，统筹做好各学科专业、各类课程的课程思政建设。要紧紧围绕国家和区域发展需求，结合学校发展定位和人才培养目标，构建全面覆盖、类型丰富、层次递进、相互支撑的课程思政体系。要切实把教育教学作为最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三、明确课程思政建设目标要求和内容重点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课程思政建设工作要围绕全面提高人才培养能力这个核心点，在全国所有高校、所有学科专业全面推进，促使课程思政的理念形成广泛共识，广大教师开展课程思政建设的意识和能力全面提升，协同推进课程思政建设的体制机制基本健全，高校立德树人成效进一步提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课程思政建设内容要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推进习近平新时代中国特色社会主义思想进教材进课堂进头脑。坚持不懈用习近平新时代中国特色社会主义思想铸魂育人，引导学生了解世情国情党情民情，增强对党的创新理论的政治认同、思想认同、情感认同，坚定中国特色社会主义道路自信、理论自信、制度自信、文化自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培育和践行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深入开展宪法法治教育。教育引导学生学思践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深化职业理想和职业道德教育。教育引导学生深刻理解并自觉实践各行业的职业精神和职业规范，增强职业责任感，培养遵纪守法、爱岗敬业、无私奉献、诚实守信、公道办事、开拓创新的职业品格和行为习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四、科学设计课程思政教学体系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高校要有针对性地修订人才培养方案，切实落实高等职业学校专业教学标准、本科专业类教学质量国家标准和一级学科、专业学位类别（领域）博士硕士学位基本要求，构建科学合理的课程思政教学体系。要坚持学生中心、产出导向、持续改进，不断提升学生的课程学习体验、学习效果，坚决防止“贴标签”“两张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公共基础课程。要重点建设一批提高大学生思想道德修养、人文素质、科学精神、宪法法治意识、国家安全意识和认知能力的课程，注重在潜移默化中坚定学生理想信念、厚植爱国主义情怀、加强品德修养、增长知识见识、培养奋斗精神，提升学生综合素质。打造一批有特色的体育、美育类课程，帮助学生在体育锻炼中享受乐趣、增强体质、健全人格、锤炼意志，在美育教学中提升审美素养、陶冶情操、温润心灵、激发创造创新活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五、结合专业特点分类推进课程思政建设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专业课程是课程思政建设的基本载体。要深入梳理专业课教学内容，结合不同课程特点、思维方法和价值理念，深入挖掘课程思政元素，有机融入课程教学，达到润物无声的育人效果。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文学、历史学、哲学类专业课程。要在课程教学中帮助学生掌握马克思主义世界观和方法论，从历史与现实、理论与实践等维度深刻理解习近平新时代中国特色社会主义思想。要结合专业知识教育引导学生深刻理解社会主义核心价值观，自觉弘扬中华优秀传统文化、革命文化、社会主义先进文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农学类专业课程。要在课程教学中加强生态文明教育，引导学生树立和践行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培养知农爱农创新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高等职业学校要结合高职专业分类和课程设置情况，落实好分类推进相关要求。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六、将课程思政融入课堂教学建设全过程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思政教学中的应用，激发学生学习兴趣，引导学生深入思考。要健全高校课堂教学管理体系，改进课堂教学过程管理，提高课程思政内涵融入课堂教学的水平。要综合运用第一课堂和第二课堂，组织开展“中国政法实务大讲堂”“新闻实务大讲堂”等系列讲堂，深入开展“青年红色筑梦之旅”“百万师生大实践”等社会实践、志愿服务、实习实训活动，不断拓展课程思政建设方法和途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七、提升教师课程思政建设的意识和能力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全面推进课程思政建设，教师是关键。要推动广大教师进一步强化育人意识，找准育人角度，提升育人能力，确保课程思政建设落地落实、见功见效。要加强教师课程思政能力建设，建立健全优质资源共享机制，支持各地各高校搭建课程思政建设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课程思政纳入教师岗前培训、在岗培训和师德师风、教学能力专题培训等。充分发挥教研室、教学团队、课程组等基层教学组织作用，建立课程思政集体教研制度。鼓励支持思政课教师与专业课教师合作教学教研，鼓励支持院士、“长江学者”、“杰青”、国家级教学名师等带头开展课程思政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加强课程思政建设重点、难点、前瞻性问题的研究，在教育部哲学社会科学研究项目中积极支持课程思政类研究选题。充分发挥高校课程思政教学研究中心、思想政治工作创新发展中心、马克思主义学院和相关学科专业教学组织的作用，构建多层次课程思政建设研究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八、建立健全课程思政建设质量评价体系和激励机制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人才培养效果是课程思政建设评价的首要标准。建立健全多维度的课程思政建设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思政评价标准。把课程思政建设成效作为“双一流”建设监测与成效评价、学科评估、本科教学评估、一流专业和一流课程建设、专业认证、“双高计划”评价、高校或院系教学绩效考核等的重要内容。把教师参与课程思政建设情况和教学效果作为教师考核评价、岗位聘用、评优奖励、选拔培训的重要内容。在教学成果奖、教材奖等各类成果的表彰奖励工作中，突出课程思政要求，加大对课程思政建设优秀成果的支持力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九、加强课程思政建设组织实施和条件保障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课程思政建设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课程思政建设的积极性和主动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加强组织领导。教育部成立课程思政建设工作协调小组，统筹研究重大政策，指导地方、高校开展工作；组建高校课程思政建设专家咨询委员会，提供专家咨询意见。各地教育部门和高校要切实加强对课程思政建设的领导，结合实际研究制定各地、各校课程思政建设工作方案，健全工作机制，强化督查检查。各高校要建立党委统一领导、党政齐抓共管、教务部门牵头抓总、相关部门联动、院系落实推进、自身特色鲜明的课程思政建设工作格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加强支持保障。各地教育部门要加强政策协调配套，统筹地方财政高等教育资金和中央支持地方高校改革发展资金，支持高校推进课程思政建设。中央部门所属高校要统筹利用中央高校教育教学改革专项等中央高校预算拨款和其他各类资源，结合学校实际，支持课程思政建设工作。地方高校要根据自身建设计划，统筹各类资源，加大对课程思政建设的投入力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加强示范引领。面向不同层次高校、不同学科专业、不同类型课程，持续深入抓典型、树标杆、推经验，形成规模、形成范式、形成体系。教育部选树一批课程思政建设先行校、一批课程思政教学名师和团队，推出一批课程思政示范课程、建设一批课程思政教学研究示范中心，设立一批课程思政建设研究项目，推动建设国家、省级、高校多层次示范体系，大力推广课程思政建设先进经验和做法，全面形成广泛开展课程思政建设的良好氛围，全面提高人才培养质量。</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4142E3"/>
    <w:rsid w:val="12414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2021-01-07T08:30:00Z</dcterms:created>
  <dc:creator>骑着小猪逛大街</dc:creator>
  <cp:lastModifiedBy>骑着小猪逛大街</cp:lastModifiedBy>
  <cp:lastPrinted>2021-01-07T08:31:12Z</cp:lastPrinted>
  <dcterms:modified xsi:type="dcterms:W3CDTF">2021-01-07T08:32:56Z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